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手麻系统维保项目</w:t>
      </w:r>
      <w:r>
        <w:rPr>
          <w:rFonts w:hint="eastAsia" w:ascii="微软雅黑" w:hAnsi="微软雅黑" w:eastAsia="微软雅黑" w:cs="微软雅黑"/>
          <w:color w:val="333333"/>
          <w:sz w:val="40"/>
          <w:szCs w:val="40"/>
          <w:shd w:val="clear" w:color="auto" w:fill="FFFFFF"/>
        </w:rPr>
        <w:t>采购咨询公示</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吴江区中医医院手麻系统维保项目</w:t>
      </w:r>
      <w:r>
        <w:rPr>
          <w:rFonts w:hint="eastAsia" w:ascii="微软雅黑" w:hAnsi="微软雅黑" w:eastAsia="微软雅黑" w:cs="微软雅黑"/>
          <w:shd w:val="clear" w:color="auto" w:fill="FFFFFF"/>
        </w:rPr>
        <w:t>进行院内产品介绍及采购咨询，现对该项目进行公示，欢迎符合相关条件的供应商参加。  </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手麻系统维保项目</w:t>
      </w:r>
      <w:r>
        <w:rPr>
          <w:rFonts w:hint="eastAsia" w:ascii="微软雅黑" w:hAnsi="微软雅黑" w:eastAsia="微软雅黑" w:cs="微软雅黑"/>
          <w:shd w:val="clear" w:color="auto" w:fill="FFFFFF"/>
        </w:rPr>
        <w:t>。</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对吴江区中医医院手麻系统进行维保。</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4、报名及询价信息：</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4-2</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4-6</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询价文件接收截止时间：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4-6   16：</w:t>
      </w:r>
      <w:r>
        <w:rPr>
          <w:rFonts w:hint="eastAsia" w:ascii="微软雅黑" w:hAnsi="微软雅黑" w:eastAsia="微软雅黑" w:cs="微软雅黑"/>
          <w:shd w:val="clear" w:color="auto" w:fill="FFFFFF"/>
        </w:rPr>
        <w:t>00 </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院内询价时间：</w:t>
      </w:r>
      <w:r>
        <w:rPr>
          <w:rFonts w:hint="eastAsia" w:ascii="微软雅黑" w:hAnsi="微软雅黑" w:eastAsia="微软雅黑" w:cs="微软雅黑"/>
          <w:shd w:val="clear" w:color="auto" w:fill="FFFFFF"/>
          <w:lang w:val="en-US" w:eastAsia="zh-CN"/>
        </w:rPr>
        <w:t>具体询价时间将邮件通知符合条件的意向单位。</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院内询价地址：</w:t>
      </w:r>
      <w:r>
        <w:rPr>
          <w:rFonts w:hint="eastAsia" w:ascii="微软雅黑" w:hAnsi="微软雅黑" w:eastAsia="微软雅黑" w:cs="微软雅黑"/>
          <w:shd w:val="clear" w:color="auto" w:fill="FFFFFF"/>
          <w:lang w:val="en-US" w:eastAsia="zh-CN"/>
        </w:rPr>
        <w:t>吴江区中医医院。</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报名接收地点：苏州市吴江区中医医院信息中心</w:t>
      </w:r>
      <w:r>
        <w:rPr>
          <w:rFonts w:hint="eastAsia" w:ascii="微软雅黑" w:hAnsi="微软雅黑" w:eastAsia="微软雅黑" w:cs="微软雅黑"/>
          <w:shd w:val="clear" w:color="auto" w:fill="FFFFFF"/>
          <w:lang w:eastAsia="zh-CN"/>
        </w:rPr>
        <w:t>。</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报名联系人：吴老师</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5、报名文件要求：</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②产品的合法代理证明（中文，原件备查）</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⑤被授权人身份证复印件（原件备查）</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⑥报名文件副本不少于4本</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⑨采购需求中的需求参数响应表（见附件）</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4</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w:t>
      </w:r>
      <w:bookmarkStart w:id="0" w:name="_GoBack"/>
      <w:bookmarkEnd w:id="0"/>
      <w:r>
        <w:rPr>
          <w:rFonts w:hint="eastAsia" w:ascii="微软雅黑" w:hAnsi="微软雅黑" w:eastAsia="微软雅黑" w:cs="微软雅黑"/>
          <w:shd w:val="clear" w:color="auto" w:fill="FFFFFF"/>
        </w:rPr>
        <w:t>日</w:t>
      </w:r>
    </w:p>
    <w:p>
      <w:pPr>
        <w:pStyle w:val="6"/>
        <w:widowControl/>
        <w:shd w:val="clear" w:color="auto" w:fill="FFFFFF"/>
        <w:spacing w:beforeAutospacing="0" w:afterAutospacing="0" w:line="300" w:lineRule="atLeast"/>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p>
    <w:p>
      <w:pPr>
        <w:pStyle w:val="6"/>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7"/>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rPr>
                <w:rFonts w:ascii="微软雅黑" w:hAnsi="微软雅黑" w:eastAsia="微软雅黑" w:cs="微软雅黑"/>
                <w:color w:val="333333"/>
                <w:sz w:val="24"/>
              </w:rPr>
            </w:pPr>
          </w:p>
        </w:tc>
      </w:tr>
    </w:tbl>
    <w:p>
      <w:pPr>
        <w:pStyle w:val="3"/>
        <w:ind w:left="0" w:leftChars="0" w:firstLine="0" w:firstLineChars="0"/>
      </w:pPr>
    </w:p>
    <w:p>
      <w:pPr>
        <w:pStyle w:val="3"/>
        <w:ind w:left="0" w:leftChars="0" w:firstLine="0" w:firstLineChars="0"/>
      </w:pPr>
    </w:p>
    <w:p>
      <w:pPr>
        <w:rPr>
          <w:rFonts w:ascii="宋体" w:hAnsi="宋体"/>
          <w:sz w:val="24"/>
        </w:rPr>
      </w:pPr>
    </w:p>
    <w:p>
      <w:pPr>
        <w:spacing w:line="360" w:lineRule="exact"/>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p>
    <w:p>
      <w:pPr>
        <w:rPr>
          <w:b/>
        </w:rPr>
      </w:pPr>
    </w:p>
    <w:p>
      <w:pPr>
        <w:spacing w:line="360" w:lineRule="auto"/>
        <w:jc w:val="center"/>
        <w:rPr>
          <w:rFonts w:hint="eastAsia" w:ascii="宋体" w:hAnsi="宋体" w:cs="仿宋"/>
          <w:b/>
          <w:bCs/>
          <w:color w:val="000000"/>
          <w:sz w:val="52"/>
          <w:szCs w:val="52"/>
          <w:lang w:val="en-US" w:eastAsia="zh-CN"/>
        </w:rPr>
      </w:pPr>
      <w:r>
        <w:rPr>
          <w:rFonts w:hint="eastAsia" w:ascii="宋体" w:hAnsi="宋体" w:cs="仿宋"/>
          <w:b/>
          <w:bCs/>
          <w:color w:val="000000"/>
          <w:sz w:val="52"/>
          <w:szCs w:val="52"/>
          <w:lang w:val="en-US" w:eastAsia="zh-CN"/>
        </w:rPr>
        <w:t>吴江区中医医院手麻系统</w:t>
      </w:r>
    </w:p>
    <w:p>
      <w:pPr>
        <w:spacing w:line="360" w:lineRule="auto"/>
        <w:jc w:val="center"/>
        <w:rPr>
          <w:rFonts w:hint="default" w:ascii="宋体" w:hAnsi="宋体" w:cs="仿宋"/>
          <w:b/>
          <w:bCs/>
          <w:color w:val="000000"/>
          <w:sz w:val="32"/>
          <w:szCs w:val="32"/>
          <w:lang w:val="en-US" w:eastAsia="zh-CN"/>
        </w:rPr>
      </w:pPr>
      <w:r>
        <w:rPr>
          <w:rFonts w:hint="eastAsia" w:ascii="宋体" w:hAnsi="宋体" w:cs="仿宋"/>
          <w:b/>
          <w:bCs/>
          <w:color w:val="000000"/>
          <w:sz w:val="52"/>
          <w:szCs w:val="52"/>
          <w:lang w:val="en-US" w:eastAsia="zh-CN"/>
        </w:rPr>
        <w:t>维保项目采购需求</w:t>
      </w:r>
    </w:p>
    <w:p>
      <w:pPr>
        <w:pStyle w:val="16"/>
        <w:spacing w:line="24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 xml:space="preserve">项目名称: </w:t>
      </w:r>
      <w:r>
        <w:rPr>
          <w:rFonts w:hint="eastAsia" w:ascii="微软雅黑" w:hAnsi="微软雅黑" w:eastAsiaTheme="minorEastAsia" w:cstheme="minorBidi"/>
          <w:kern w:val="2"/>
          <w:sz w:val="27"/>
          <w:szCs w:val="28"/>
          <w:lang w:val="en-US" w:eastAsia="zh-CN" w:bidi="ar-SA"/>
        </w:rPr>
        <w:t>吴江区中医医院手麻系统维保项目</w:t>
      </w:r>
    </w:p>
    <w:p>
      <w:pPr>
        <w:pStyle w:val="16"/>
        <w:spacing w:line="240" w:lineRule="auto"/>
        <w:jc w:val="left"/>
        <w:rPr>
          <w:rFonts w:hint="eastAsia" w:ascii="宋体" w:hAnsi="宋体" w:cs="仿宋"/>
          <w:b/>
          <w:bCs/>
          <w:color w:val="000000"/>
          <w:sz w:val="32"/>
          <w:szCs w:val="32"/>
          <w:lang w:val="en-US" w:eastAsia="zh-CN"/>
        </w:rPr>
      </w:pPr>
      <w:r>
        <w:rPr>
          <w:rFonts w:hint="eastAsia" w:ascii="微软雅黑" w:hAnsi="微软雅黑" w:eastAsiaTheme="minorEastAsia" w:cstheme="minorBidi"/>
          <w:b/>
          <w:bCs/>
          <w:kern w:val="2"/>
          <w:sz w:val="27"/>
          <w:szCs w:val="28"/>
          <w:lang w:val="en-US" w:eastAsia="zh-CN" w:bidi="ar-SA"/>
        </w:rPr>
        <w:t>项目描述:</w:t>
      </w:r>
      <w:r>
        <w:rPr>
          <w:rFonts w:hint="eastAsia" w:ascii="微软雅黑" w:hAnsi="微软雅黑" w:eastAsiaTheme="minorEastAsia" w:cstheme="minorBidi"/>
          <w:kern w:val="2"/>
          <w:sz w:val="27"/>
          <w:szCs w:val="28"/>
          <w:lang w:val="en-US" w:eastAsia="zh-CN" w:bidi="ar-SA"/>
        </w:rPr>
        <w:t xml:space="preserve"> 对吴江区中医医院手麻系统进行维保</w:t>
      </w:r>
    </w:p>
    <w:p>
      <w:pPr>
        <w:spacing w:line="360" w:lineRule="auto"/>
        <w:ind w:firstLine="3193" w:firstLineChars="994"/>
        <w:jc w:val="left"/>
        <w:rPr>
          <w:rFonts w:hint="default" w:ascii="宋体" w:hAnsi="宋体" w:eastAsia="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tbl>
      <w:tblPr>
        <w:tblStyle w:val="7"/>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pPr>
              <w:spacing w:line="300" w:lineRule="exact"/>
              <w:jc w:val="center"/>
              <w:rPr>
                <w:rFonts w:ascii="宋体" w:hAnsi="宋体"/>
                <w:b/>
                <w:color w:val="000000"/>
                <w:szCs w:val="21"/>
              </w:rPr>
            </w:pPr>
            <w:r>
              <w:rPr>
                <w:rFonts w:hint="eastAsia" w:ascii="宋体" w:hAnsi="宋体"/>
                <w:color w:val="000000"/>
                <w:szCs w:val="21"/>
              </w:rPr>
              <w:t>01</w:t>
            </w:r>
          </w:p>
        </w:tc>
        <w:tc>
          <w:tcPr>
            <w:tcW w:w="1129" w:type="dxa"/>
            <w:noWrap w:val="0"/>
            <w:vAlign w:val="center"/>
          </w:tcPr>
          <w:p>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维护内容</w:t>
            </w:r>
          </w:p>
        </w:tc>
        <w:tc>
          <w:tcPr>
            <w:tcW w:w="4432"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（1）日常故障处理（由于软件引起的一般信息系统故障处理）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（2）重大故障处理（系统瘫痪、服务器崩溃、速度异常慢等影响使用的重大问题）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（3）系统重新安装（更换服务器等需要重新安装信息系统软件）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（4）软件问题修改（信息系统软件潜在问题（Bug）修改）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（5）软件适应性修改（在软件功能需求不改变原有工作和管理流程的情况下，对软件进行小范围的修改）</w:t>
            </w:r>
          </w:p>
        </w:tc>
        <w:tc>
          <w:tcPr>
            <w:tcW w:w="1522" w:type="dxa"/>
            <w:noWrap w:val="0"/>
            <w:vAlign w:val="center"/>
          </w:tcPr>
          <w:p>
            <w:pPr>
              <w:spacing w:line="300" w:lineRule="exact"/>
              <w:jc w:val="lef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pPr>
              <w:spacing w:line="300" w:lineRule="exact"/>
              <w:jc w:val="center"/>
              <w:rPr>
                <w:rFonts w:ascii="宋体" w:hAnsi="宋体"/>
                <w:color w:val="000000"/>
                <w:szCs w:val="21"/>
              </w:rPr>
            </w:pPr>
            <w:r>
              <w:rPr>
                <w:rFonts w:hint="eastAsia" w:ascii="宋体" w:hAnsi="宋体"/>
                <w:color w:val="000000"/>
                <w:szCs w:val="21"/>
              </w:rPr>
              <w:t>02</w:t>
            </w:r>
          </w:p>
        </w:tc>
        <w:tc>
          <w:tcPr>
            <w:tcW w:w="1129" w:type="dxa"/>
            <w:noWrap w:val="0"/>
            <w:vAlign w:val="center"/>
          </w:tcPr>
          <w:p>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维护要求</w:t>
            </w:r>
          </w:p>
        </w:tc>
        <w:tc>
          <w:tcPr>
            <w:tcW w:w="4432"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（1）400远程电话支持：电话7×24小时远程支持或软件技术问题解决与分发。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2）故障维护：指配合院方解决系统运行过程中由于网络、服务器、计算机、操作系统等原因所产生的软件无法正常运行，供应商负责维护，以维持系统的正常运行，并在完成故障处理后出具产品维护报告，包含问题的原因、解决办法以及建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（3）软件正确性维护：指软件运行过程中新发现的软件错误，供应商负责维护及时改进并且通知院方，并且提供软件维护说明。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4）用户培训：负责系统的培训与指导；指软件更改后造成软件操作变化的使用培训，培训对象包括医生、护士和信息科工程师，并提供新功能使用说明。负责麻醉科的骨干人员和网络管理人员的应用及维护培训，使网络管理人员熟练掌握监护设备联机的基本原理和常见故障排除的技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5）定时巡检：要求供应商每季度一次的定期现场巡检，对用户应用软件的软硬件环境进行检查；及时发现系统隐患保障系统稳定运行，并出具系统巡检报告，该报告内容包含巡检结果以及巡检建议。但该检查必须经过院方的许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6）需求的更新：指国家卫生部统一规定必须具备的表单，并且在合同范围内的功能，供应商和院方共同协商，确认功能要求后，将及时完善到系统中。院方在实际工作中产生的、需要系统更新的版本内的相关功能，经双方友好协商后，共同签署附加实施协议，再予以完善到系统中；超出功能范围的内容，经双方友好协商后，按协商价格收取相应费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（7）系统建设建议：指系统在运行过程中，供应商不定期地向院方提供科室软件建设建议方案。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8）客户回应承诺：在维护期内，如软件系统故障，供应商需在接到通知后30分钟予以响应，共同协商解决方案。若需要工程师前往现场，除约定到达时间外，一般要求在4小时到达院方指定现场。工程师在到达现场后，经现场调查后，除约定时间外，一般要求6小时内排除故障。如院方因软件接口或需求修改要求工程师现场维护的，供应商应在24小时内予以回应，给出具体解决方案和时间表，并经院方批准后，遵照方案和时间表严格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（9）文档管理：提供和完善“麻醉临床信息系统”的服务工作文档（指软件更新的内容说明和常见问题的解决方法说明）。</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（10）医院将每年对供应商进行至少两次考核，两次考核均不合格的供货商将扣除服务到期后的费用。</w:t>
            </w:r>
          </w:p>
        </w:tc>
        <w:tc>
          <w:tcPr>
            <w:tcW w:w="1522" w:type="dxa"/>
            <w:noWrap w:val="0"/>
            <w:vAlign w:val="center"/>
          </w:tcPr>
          <w:p>
            <w:pPr>
              <w:autoSpaceDE w:val="0"/>
              <w:autoSpaceDN w:val="0"/>
              <w:adjustRightInd w:val="0"/>
              <w:spacing w:line="300" w:lineRule="exact"/>
              <w:jc w:val="left"/>
              <w:rPr>
                <w:rFonts w:ascii="宋体" w:hAnsi="宋体"/>
                <w:color w:val="000000"/>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680" w:type="dxa"/>
            <w:noWrap w:val="0"/>
            <w:vAlign w:val="center"/>
          </w:tcPr>
          <w:p>
            <w:pPr>
              <w:spacing w:line="300" w:lineRule="exact"/>
              <w:jc w:val="center"/>
              <w:rPr>
                <w:rFonts w:ascii="宋体" w:hAnsi="宋体"/>
                <w:color w:val="000000"/>
                <w:szCs w:val="21"/>
              </w:rPr>
            </w:pPr>
            <w:r>
              <w:rPr>
                <w:rFonts w:hint="eastAsia" w:ascii="宋体" w:hAnsi="宋体"/>
                <w:color w:val="000000"/>
                <w:szCs w:val="21"/>
              </w:rPr>
              <w:t>03</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kern w:val="2"/>
                <w:sz w:val="24"/>
                <w:szCs w:val="24"/>
                <w:lang w:val="zh-CN" w:eastAsia="zh-CN" w:bidi="ar-SA"/>
              </w:rPr>
            </w:pPr>
            <w:r>
              <w:rPr>
                <w:rFonts w:hint="eastAsia" w:ascii="宋体" w:hAnsi="宋体" w:eastAsia="宋体" w:cs="宋体"/>
                <w:color w:val="000000"/>
                <w:sz w:val="24"/>
                <w:szCs w:val="24"/>
              </w:rPr>
              <w:t>麻醉监护自动采集</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kern w:val="0"/>
                <w:sz w:val="24"/>
                <w:szCs w:val="24"/>
                <w:lang w:val="zh-CN" w:eastAsia="zh-CN" w:bidi="ar-SA"/>
              </w:rPr>
            </w:pPr>
            <w:r>
              <w:rPr>
                <w:rFonts w:hint="eastAsia" w:ascii="宋体" w:hAnsi="宋体" w:eastAsia="宋体" w:cs="宋体"/>
                <w:color w:val="000000"/>
                <w:sz w:val="24"/>
                <w:szCs w:val="24"/>
              </w:rPr>
              <w:t>自动采集床边监护设备的数据，最小采集样本频率为 秒，服务器冋步数据存储，自动记录麻醉手术期间所有体 征趋势。对于异常情况可以进行数据修正和报警， 修正前原始数据将会留存，根据监护级别自由设置采集频率，以达到根据手术级别及病人的个人体征状态量身定制监护 方案的目的</w:t>
            </w:r>
          </w:p>
        </w:tc>
        <w:tc>
          <w:tcPr>
            <w:tcW w:w="1522" w:type="dxa"/>
            <w:noWrap w:val="0"/>
            <w:vAlign w:val="center"/>
          </w:tcPr>
          <w:p>
            <w:pPr>
              <w:autoSpaceDE w:val="0"/>
              <w:autoSpaceDN w:val="0"/>
              <w:adjustRightInd w:val="0"/>
              <w:spacing w:line="300" w:lineRule="exact"/>
              <w:jc w:val="lef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pPr>
              <w:spacing w:line="300" w:lineRule="exact"/>
              <w:jc w:val="center"/>
              <w:rPr>
                <w:rFonts w:ascii="宋体" w:hAnsi="宋体"/>
                <w:color w:val="000000"/>
                <w:szCs w:val="21"/>
              </w:rPr>
            </w:pPr>
            <w:r>
              <w:rPr>
                <w:rFonts w:hint="eastAsia" w:ascii="宋体" w:hAnsi="宋体"/>
                <w:color w:val="000000"/>
                <w:szCs w:val="21"/>
              </w:rPr>
              <w:t>04</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信息系统接口</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right="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实现和医院现有的 HIS、PACS EMR LIS等信息系统的连接。</w:t>
            </w:r>
          </w:p>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涉及第</w:t>
            </w:r>
            <w:r>
              <w:rPr>
                <w:rFonts w:hint="eastAsia" w:ascii="宋体" w:hAnsi="宋体" w:eastAsia="宋体" w:cs="宋体"/>
                <w:color w:val="000000"/>
                <w:sz w:val="24"/>
                <w:szCs w:val="24"/>
                <w:lang w:val="en-US" w:eastAsia="zh-CN"/>
              </w:rPr>
              <w:t>三</w:t>
            </w:r>
            <w:r>
              <w:rPr>
                <w:rFonts w:hint="eastAsia" w:ascii="宋体" w:hAnsi="宋体" w:eastAsia="宋体" w:cs="宋体"/>
                <w:color w:val="000000"/>
                <w:sz w:val="24"/>
                <w:szCs w:val="24"/>
              </w:rPr>
              <w:t>方（设备、软件）接口技术和费用冋题由投标单位与相应单位自行解决， 费用自理，考虑到目前医院以病例为中心的高度信息集成要求，系统充分考虑并实现了与EMR系统的高度融合，可以实现病例的完全共享、 相互调阅及</w:t>
            </w:r>
            <w:r>
              <w:rPr>
                <w:rFonts w:hint="eastAsia" w:ascii="宋体" w:hAnsi="宋体" w:eastAsia="宋体" w:cs="宋体"/>
                <w:color w:val="000000"/>
                <w:sz w:val="24"/>
                <w:szCs w:val="24"/>
                <w:lang w:val="en-US" w:eastAsia="zh-CN"/>
              </w:rPr>
              <w:t>数据</w:t>
            </w:r>
            <w:r>
              <w:rPr>
                <w:rFonts w:hint="eastAsia" w:ascii="宋体" w:hAnsi="宋体" w:eastAsia="宋体" w:cs="宋体"/>
                <w:color w:val="000000"/>
                <w:sz w:val="24"/>
                <w:szCs w:val="24"/>
              </w:rPr>
              <w:t>补充</w:t>
            </w:r>
            <w:r>
              <w:rPr>
                <w:rFonts w:hint="eastAsia" w:ascii="宋体" w:hAnsi="宋体" w:eastAsia="宋体" w:cs="宋体"/>
                <w:color w:val="000000"/>
                <w:sz w:val="24"/>
                <w:szCs w:val="24"/>
                <w:lang w:val="en-US" w:eastAsia="zh-CN"/>
              </w:rPr>
              <w:t>,尤其在EMR病案首页中，如需获取同步手麻系统的相关数据、需配合完成，费用由投标单位自理</w:t>
            </w:r>
            <w:r>
              <w:rPr>
                <w:rFonts w:hint="eastAsia" w:ascii="宋体" w:hAnsi="宋体" w:eastAsia="宋体" w:cs="宋体"/>
                <w:color w:val="000000"/>
                <w:sz w:val="24"/>
                <w:szCs w:val="24"/>
                <w:lang w:eastAsia="zh-CN"/>
              </w:rPr>
              <w:t>。</w:t>
            </w:r>
          </w:p>
        </w:tc>
        <w:tc>
          <w:tcPr>
            <w:tcW w:w="1522" w:type="dxa"/>
            <w:noWrap w:val="0"/>
            <w:vAlign w:val="center"/>
          </w:tcPr>
          <w:p>
            <w:pPr>
              <w:spacing w:line="300" w:lineRule="exact"/>
              <w:jc w:val="lef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80" w:type="dxa"/>
            <w:noWrap w:val="0"/>
            <w:vAlign w:val="center"/>
          </w:tcPr>
          <w:p>
            <w:pPr>
              <w:spacing w:line="300" w:lineRule="exact"/>
              <w:jc w:val="center"/>
              <w:rPr>
                <w:rFonts w:hint="eastAsia" w:ascii="宋体" w:hAnsi="宋体"/>
                <w:color w:val="000000"/>
                <w:szCs w:val="21"/>
              </w:rPr>
            </w:pPr>
            <w:r>
              <w:rPr>
                <w:rFonts w:hint="eastAsia" w:ascii="宋体" w:hAnsi="宋体"/>
                <w:color w:val="000000"/>
                <w:szCs w:val="21"/>
              </w:rPr>
              <w:t>05</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权限设置</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根据用户角色分配系统功能权限，辅助完成科室的层级管理流程，明确用户的任务和责任，清晰、准确的引导用户使用系统。</w:t>
            </w:r>
          </w:p>
        </w:tc>
        <w:tc>
          <w:tcPr>
            <w:tcW w:w="1522" w:type="dxa"/>
            <w:noWrap w:val="0"/>
            <w:vAlign w:val="top"/>
          </w:tcPr>
          <w:p>
            <w:pPr>
              <w:spacing w:line="300" w:lineRule="exact"/>
              <w:jc w:val="lef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80" w:type="dxa"/>
            <w:noWrap w:val="0"/>
            <w:vAlign w:val="center"/>
          </w:tcPr>
          <w:p>
            <w:pPr>
              <w:spacing w:line="300" w:lineRule="exact"/>
              <w:jc w:val="center"/>
              <w:rPr>
                <w:rFonts w:hint="eastAsia" w:ascii="宋体" w:hAnsi="宋体"/>
                <w:color w:val="000000"/>
                <w:szCs w:val="21"/>
              </w:rPr>
            </w:pPr>
            <w:r>
              <w:rPr>
                <w:rFonts w:hint="eastAsia" w:ascii="宋体" w:hAnsi="宋体"/>
                <w:color w:val="000000"/>
                <w:szCs w:val="21"/>
              </w:rPr>
              <w:t>06</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数据字典维护</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系统中常用的基础数据项目的维护， 例如：人员信息、手术信息、设备信息、药品信息等。</w:t>
            </w:r>
          </w:p>
        </w:tc>
        <w:tc>
          <w:tcPr>
            <w:tcW w:w="1522" w:type="dxa"/>
            <w:noWrap w:val="0"/>
            <w:vAlign w:val="center"/>
          </w:tcPr>
          <w:p>
            <w:pPr>
              <w:spacing w:line="30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pPr>
              <w:spacing w:line="300" w:lineRule="exact"/>
              <w:jc w:val="center"/>
              <w:rPr>
                <w:rFonts w:hint="eastAsia" w:ascii="宋体" w:hAnsi="宋体"/>
                <w:color w:val="000000"/>
                <w:szCs w:val="21"/>
              </w:rPr>
            </w:pPr>
            <w:r>
              <w:rPr>
                <w:rFonts w:hint="eastAsia" w:ascii="宋体" w:hAnsi="宋体"/>
                <w:color w:val="000000"/>
                <w:szCs w:val="21"/>
              </w:rPr>
              <w:t>07</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UI风格</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从人性化的角度出发，允许用户通过个人的审美特点和习惯，配置系统的 UI风格及色调，以同理心的情怀让用户和系统之间建立起沟通的纽带， 减少用户因审美重复上造成的疲劳及厌恶情绪。</w:t>
            </w:r>
          </w:p>
        </w:tc>
        <w:tc>
          <w:tcPr>
            <w:tcW w:w="1522" w:type="dxa"/>
            <w:noWrap w:val="0"/>
            <w:vAlign w:val="center"/>
          </w:tcPr>
          <w:p>
            <w:pPr>
              <w:spacing w:line="3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pPr>
              <w:spacing w:line="300" w:lineRule="exact"/>
              <w:jc w:val="center"/>
              <w:rPr>
                <w:rFonts w:hint="eastAsia" w:ascii="宋体" w:hAnsi="宋体"/>
                <w:color w:val="000000"/>
                <w:szCs w:val="21"/>
              </w:rPr>
            </w:pPr>
            <w:r>
              <w:rPr>
                <w:rFonts w:hint="eastAsia" w:ascii="宋体" w:hAnsi="宋体"/>
                <w:color w:val="000000"/>
                <w:szCs w:val="21"/>
              </w:rPr>
              <w:t>08</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lang w:val="en-US" w:eastAsia="zh-CN"/>
              </w:rPr>
              <w:t>自缩放式打印</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自缩放式打印，可根据页面内容的多少自动调整打印分辨率，极大的提咼了添加数据时的灵活性，不再有填写项的字数限制，并保证显示与打印的完整及一致、打印效果清晰准确。</w:t>
            </w:r>
          </w:p>
        </w:tc>
        <w:tc>
          <w:tcPr>
            <w:tcW w:w="1522" w:type="dxa"/>
            <w:noWrap w:val="0"/>
            <w:vAlign w:val="center"/>
          </w:tcPr>
          <w:p>
            <w:pPr>
              <w:spacing w:line="3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pPr>
              <w:spacing w:line="300" w:lineRule="exact"/>
              <w:jc w:val="center"/>
              <w:rPr>
                <w:rFonts w:hint="eastAsia" w:ascii="宋体" w:hAnsi="宋体"/>
                <w:color w:val="000000"/>
                <w:szCs w:val="21"/>
              </w:rPr>
            </w:pPr>
            <w:r>
              <w:rPr>
                <w:rFonts w:hint="eastAsia" w:ascii="宋体" w:hAnsi="宋体"/>
                <w:color w:val="000000"/>
                <w:szCs w:val="21"/>
              </w:rPr>
              <w:t>09</w:t>
            </w:r>
          </w:p>
        </w:tc>
        <w:tc>
          <w:tcPr>
            <w:tcW w:w="1129"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麻醉相关文书模板</w:t>
            </w:r>
          </w:p>
        </w:tc>
        <w:tc>
          <w:tcPr>
            <w:tcW w:w="4432" w:type="dxa"/>
            <w:noWrap w:val="0"/>
            <w:vAlign w:val="center"/>
          </w:tcPr>
          <w:p>
            <w:pPr>
              <w:pStyle w:val="6"/>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提供麻醉冋意书、麻醉单等随访单的自</w:t>
            </w:r>
            <w:r>
              <w:rPr>
                <w:rFonts w:hint="eastAsia" w:ascii="宋体" w:hAnsi="宋体" w:eastAsia="宋体" w:cs="宋体"/>
                <w:color w:val="000000"/>
                <w:sz w:val="24"/>
                <w:szCs w:val="24"/>
                <w:lang w:val="en-US" w:eastAsia="zh-CN"/>
              </w:rPr>
              <w:t>定</w:t>
            </w:r>
            <w:r>
              <w:rPr>
                <w:rFonts w:hint="eastAsia" w:ascii="宋体" w:hAnsi="宋体" w:eastAsia="宋体" w:cs="宋体"/>
                <w:color w:val="000000"/>
                <w:sz w:val="24"/>
                <w:szCs w:val="24"/>
              </w:rPr>
              <w:t>义模板。</w:t>
            </w:r>
          </w:p>
        </w:tc>
        <w:tc>
          <w:tcPr>
            <w:tcW w:w="1522" w:type="dxa"/>
            <w:noWrap w:val="0"/>
            <w:vAlign w:val="center"/>
          </w:tcPr>
          <w:p>
            <w:pPr>
              <w:spacing w:line="300" w:lineRule="exact"/>
              <w:rPr>
                <w:rFonts w:ascii="宋体" w:hAnsi="宋体"/>
                <w:b/>
                <w:color w:val="000000"/>
                <w:szCs w:val="21"/>
              </w:rPr>
            </w:pPr>
          </w:p>
        </w:tc>
      </w:tr>
    </w:tbl>
    <w:p>
      <w:pPr>
        <w:spacing w:line="360" w:lineRule="auto"/>
        <w:rPr>
          <w:rFonts w:hint="eastAsia" w:ascii="仿宋" w:hAnsi="仿宋" w:eastAsia="仿宋" w:cs="仿宋"/>
          <w:bCs/>
          <w:color w:val="000000"/>
          <w:sz w:val="28"/>
          <w:szCs w:val="28"/>
        </w:rPr>
      </w:pPr>
    </w:p>
    <w:p>
      <w:pPr>
        <w:spacing w:line="276" w:lineRule="auto"/>
        <w:ind w:right="-115" w:rightChars="-55" w:firstLine="7480" w:firstLineChars="1700"/>
        <w:rPr>
          <w:sz w:val="44"/>
          <w:szCs w:val="5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497C46"/>
    <w:rsid w:val="03757E97"/>
    <w:rsid w:val="056D430E"/>
    <w:rsid w:val="0BC57674"/>
    <w:rsid w:val="0CCC4058"/>
    <w:rsid w:val="0D5154EF"/>
    <w:rsid w:val="0F860A35"/>
    <w:rsid w:val="0FDC69B3"/>
    <w:rsid w:val="11457119"/>
    <w:rsid w:val="1203345F"/>
    <w:rsid w:val="13CB4998"/>
    <w:rsid w:val="16A36768"/>
    <w:rsid w:val="16BF796D"/>
    <w:rsid w:val="18F76334"/>
    <w:rsid w:val="191A6149"/>
    <w:rsid w:val="1A0A7A8C"/>
    <w:rsid w:val="1A9441C4"/>
    <w:rsid w:val="1C1357D3"/>
    <w:rsid w:val="1D4848F9"/>
    <w:rsid w:val="1DB775F0"/>
    <w:rsid w:val="1F4613C6"/>
    <w:rsid w:val="20234AC9"/>
    <w:rsid w:val="20E050B2"/>
    <w:rsid w:val="20E93B38"/>
    <w:rsid w:val="21105668"/>
    <w:rsid w:val="23A844F8"/>
    <w:rsid w:val="276716D6"/>
    <w:rsid w:val="28632A43"/>
    <w:rsid w:val="2A372565"/>
    <w:rsid w:val="2B792023"/>
    <w:rsid w:val="2D462D19"/>
    <w:rsid w:val="2DDB3DB1"/>
    <w:rsid w:val="2ED0406E"/>
    <w:rsid w:val="2F837D56"/>
    <w:rsid w:val="346C76AD"/>
    <w:rsid w:val="35153E9A"/>
    <w:rsid w:val="36BE46BB"/>
    <w:rsid w:val="37986F24"/>
    <w:rsid w:val="37987A5E"/>
    <w:rsid w:val="38FD01D1"/>
    <w:rsid w:val="3B427BE3"/>
    <w:rsid w:val="3C0678D2"/>
    <w:rsid w:val="3C152DBD"/>
    <w:rsid w:val="3E9056D3"/>
    <w:rsid w:val="46352F9D"/>
    <w:rsid w:val="46C43504"/>
    <w:rsid w:val="46F71DBC"/>
    <w:rsid w:val="4A196F32"/>
    <w:rsid w:val="4B3348D0"/>
    <w:rsid w:val="4BB92EC3"/>
    <w:rsid w:val="4BDC1C70"/>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9B14FC6"/>
    <w:rsid w:val="5B3E583B"/>
    <w:rsid w:val="5BC15E3F"/>
    <w:rsid w:val="5CA644DC"/>
    <w:rsid w:val="5E4915C3"/>
    <w:rsid w:val="5EE91B71"/>
    <w:rsid w:val="60030F64"/>
    <w:rsid w:val="623065F6"/>
    <w:rsid w:val="62335ECC"/>
    <w:rsid w:val="64104633"/>
    <w:rsid w:val="66ED2BFB"/>
    <w:rsid w:val="677B5394"/>
    <w:rsid w:val="69AE2A5F"/>
    <w:rsid w:val="69E72097"/>
    <w:rsid w:val="6C427652"/>
    <w:rsid w:val="6E3D2C7C"/>
    <w:rsid w:val="6E950D2C"/>
    <w:rsid w:val="703662DF"/>
    <w:rsid w:val="708B7E9F"/>
    <w:rsid w:val="72637AFF"/>
    <w:rsid w:val="77013680"/>
    <w:rsid w:val="77CA74D9"/>
    <w:rsid w:val="77D953F3"/>
    <w:rsid w:val="78373497"/>
    <w:rsid w:val="79517DF8"/>
    <w:rsid w:val="7B4D7FF5"/>
    <w:rsid w:val="7BF34B33"/>
    <w:rsid w:val="7C87122E"/>
    <w:rsid w:val="7C9B5BF7"/>
    <w:rsid w:val="7D471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300" w:lineRule="auto"/>
      <w:ind w:firstLine="560" w:firstLineChars="200"/>
      <w:jc w:val="left"/>
    </w:pPr>
    <w:rPr>
      <w:sz w:val="2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rFonts w:cs="Times New Roman"/>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页眉 Char"/>
    <w:basedOn w:val="9"/>
    <w:link w:val="5"/>
    <w:qFormat/>
    <w:uiPriority w:val="0"/>
    <w:rPr>
      <w:rFonts w:asciiTheme="minorHAnsi" w:hAnsiTheme="minorHAnsi" w:eastAsiaTheme="minorEastAsia" w:cstheme="minorBidi"/>
      <w:kern w:val="2"/>
      <w:sz w:val="18"/>
      <w:szCs w:val="18"/>
    </w:rPr>
  </w:style>
  <w:style w:type="character" w:customStyle="1" w:styleId="12">
    <w:name w:val="页脚 Char"/>
    <w:basedOn w:val="9"/>
    <w:link w:val="4"/>
    <w:autoRedefine/>
    <w:qFormat/>
    <w:uiPriority w:val="0"/>
    <w:rPr>
      <w:rFonts w:asciiTheme="minorHAnsi" w:hAnsiTheme="minorHAnsi" w:eastAsiaTheme="minorEastAsia" w:cstheme="minorBidi"/>
      <w:kern w:val="2"/>
      <w:sz w:val="18"/>
      <w:szCs w:val="18"/>
    </w:rPr>
  </w:style>
  <w:style w:type="character" w:customStyle="1" w:styleId="13">
    <w:name w:val="font21"/>
    <w:basedOn w:val="9"/>
    <w:qFormat/>
    <w:uiPriority w:val="0"/>
    <w:rPr>
      <w:rFonts w:hint="eastAsia" w:ascii="宋体" w:hAnsi="宋体" w:eastAsia="宋体" w:cs="宋体"/>
      <w:color w:val="000000"/>
      <w:sz w:val="21"/>
      <w:szCs w:val="21"/>
      <w:u w:val="none"/>
    </w:rPr>
  </w:style>
  <w:style w:type="character" w:customStyle="1" w:styleId="14">
    <w:name w:val="font31"/>
    <w:basedOn w:val="9"/>
    <w:qFormat/>
    <w:uiPriority w:val="0"/>
    <w:rPr>
      <w:rFonts w:hint="eastAsia" w:ascii="宋体" w:hAnsi="宋体" w:eastAsia="宋体" w:cs="宋体"/>
      <w:color w:val="000000"/>
      <w:sz w:val="21"/>
      <w:szCs w:val="21"/>
      <w:u w:val="single"/>
    </w:rPr>
  </w:style>
  <w:style w:type="character" w:customStyle="1" w:styleId="15">
    <w:name w:val="font11"/>
    <w:basedOn w:val="9"/>
    <w:qFormat/>
    <w:uiPriority w:val="0"/>
    <w:rPr>
      <w:rFonts w:hint="eastAsia" w:ascii="宋体" w:hAnsi="宋体" w:eastAsia="宋体" w:cs="宋体"/>
      <w:b/>
      <w:bCs/>
      <w:color w:val="000000"/>
      <w:sz w:val="21"/>
      <w:szCs w:val="21"/>
      <w:u w:val="none"/>
    </w:rPr>
  </w:style>
  <w:style w:type="paragraph" w:customStyle="1" w:styleId="16">
    <w:name w:val="石墨文档正文"/>
    <w:autoRedefine/>
    <w:qFormat/>
    <w:uiPriority w:val="0"/>
    <w:rPr>
      <w:rFonts w:ascii="Arial Unicode MS" w:hAnsi="Arial Unicode MS" w:eastAsia="MicrosoftYaHei" w:cs="Arial Unicode MS"/>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7</Pages>
  <Words>2548</Words>
  <Characters>2624</Characters>
  <Lines>8</Lines>
  <Paragraphs>2</Paragraphs>
  <TotalTime>0</TotalTime>
  <ScaleCrop>false</ScaleCrop>
  <LinksUpToDate>false</LinksUpToDate>
  <CharactersWithSpaces>2907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2024-04-02T00:00:35Z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755A870D4B4048E393C0A189AA105A0D</vt:lpwstr>
  </property>
</Properties>
</file>