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szCs w:val="21"/>
          <w:highlight w:val="none"/>
          <w:lang w:eastAsia="zh-CN"/>
        </w:rPr>
      </w:pPr>
      <w:r>
        <w:rPr>
          <w:rFonts w:hint="eastAsia" w:ascii="宋体" w:hAnsi="宋体" w:cs="宋体"/>
          <w:b/>
          <w:bCs/>
          <w:szCs w:val="21"/>
          <w:highlight w:val="none"/>
          <w:lang w:eastAsia="zh-CN"/>
        </w:rPr>
        <w:t>附件</w:t>
      </w:r>
    </w:p>
    <w:p>
      <w:pPr>
        <w:spacing w:line="400" w:lineRule="exact"/>
        <w:ind w:firstLine="420" w:firstLineChars="200"/>
        <w:rPr>
          <w:rFonts w:ascii="宋体" w:hAnsi="宋体" w:cs="宋体"/>
          <w:szCs w:val="21"/>
          <w:highlight w:val="none"/>
        </w:rPr>
      </w:pPr>
      <w:r>
        <w:rPr>
          <w:rFonts w:hint="eastAsia" w:ascii="宋体" w:hAnsi="宋体" w:cs="宋体"/>
          <w:szCs w:val="21"/>
          <w:highlight w:val="none"/>
          <w:lang w:eastAsia="zh-CN"/>
        </w:rPr>
        <w:t>一、</w:t>
      </w:r>
      <w:r>
        <w:rPr>
          <w:rFonts w:hint="eastAsia" w:ascii="宋体" w:hAnsi="宋体" w:cs="宋体"/>
          <w:szCs w:val="21"/>
          <w:highlight w:val="none"/>
        </w:rPr>
        <w:t>采购需求：</w:t>
      </w:r>
    </w:p>
    <w:p>
      <w:pPr>
        <w:numPr>
          <w:ilvl w:val="0"/>
          <w:numId w:val="0"/>
        </w:numPr>
        <w:spacing w:line="400" w:lineRule="exact"/>
        <w:ind w:firstLine="420" w:firstLineChars="200"/>
        <w:outlineLvl w:val="0"/>
        <w:rPr>
          <w:rFonts w:ascii="宋体" w:hAnsi="宋体" w:cs="宋体"/>
          <w:szCs w:val="21"/>
          <w:highlight w:val="none"/>
        </w:rPr>
      </w:pPr>
      <w:r>
        <w:rPr>
          <w:rFonts w:hint="eastAsia" w:ascii="宋体" w:hAnsi="宋体" w:cs="宋体"/>
          <w:szCs w:val="21"/>
          <w:highlight w:val="none"/>
        </w:rPr>
        <w:t>1、项目概况：</w:t>
      </w:r>
      <w:r>
        <w:rPr>
          <w:rFonts w:hint="eastAsia" w:ascii="宋体" w:hAnsi="宋体" w:cs="宋体"/>
          <w:szCs w:val="21"/>
          <w:highlight w:val="none"/>
          <w:lang w:eastAsia="zh-CN"/>
        </w:rPr>
        <w:t>零星工程维修服务</w:t>
      </w:r>
      <w:r>
        <w:rPr>
          <w:rFonts w:hint="eastAsia" w:ascii="宋体" w:hAnsi="宋体" w:cs="宋体"/>
          <w:szCs w:val="21"/>
          <w:highlight w:val="none"/>
        </w:rPr>
        <w:t>。</w:t>
      </w:r>
    </w:p>
    <w:p>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2、工程规模：</w:t>
      </w:r>
      <w:r>
        <w:rPr>
          <w:rFonts w:hint="eastAsia" w:ascii="宋体" w:hAnsi="宋体" w:cs="宋体"/>
          <w:szCs w:val="21"/>
          <w:highlight w:val="none"/>
          <w:lang w:eastAsia="zh-CN"/>
        </w:rPr>
        <w:t>小型零星工程</w:t>
      </w:r>
    </w:p>
    <w:p>
      <w:pPr>
        <w:spacing w:line="400" w:lineRule="exact"/>
        <w:ind w:firstLine="420" w:firstLineChars="200"/>
        <w:rPr>
          <w:rFonts w:ascii="宋体" w:hAnsi="宋体" w:cs="宋体"/>
          <w:szCs w:val="21"/>
          <w:highlight w:val="none"/>
        </w:rPr>
      </w:pPr>
      <w:r>
        <w:rPr>
          <w:rFonts w:hint="eastAsia" w:ascii="宋体" w:hAnsi="宋体" w:cs="宋体"/>
          <w:szCs w:val="21"/>
          <w:highlight w:val="none"/>
        </w:rPr>
        <w:t>3、项目地址：</w:t>
      </w:r>
      <w:r>
        <w:rPr>
          <w:rFonts w:hint="eastAsia" w:ascii="宋体" w:hAnsi="宋体" w:cs="宋体"/>
          <w:szCs w:val="21"/>
          <w:highlight w:val="none"/>
          <w:lang w:val="en-US" w:eastAsia="zh-CN"/>
        </w:rPr>
        <w:t>苏州市吴江区中医医院（苏州市吴江区第二人民医院）指定</w:t>
      </w:r>
    </w:p>
    <w:p>
      <w:pPr>
        <w:spacing w:line="400" w:lineRule="exact"/>
        <w:ind w:firstLine="420" w:firstLineChars="2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szCs w:val="21"/>
          <w:highlight w:val="none"/>
        </w:rPr>
        <w:t>4、施工范围及内容：</w:t>
      </w:r>
      <w:r>
        <w:rPr>
          <w:rFonts w:hint="eastAsia" w:ascii="宋体" w:hAnsi="宋体" w:eastAsia="宋体" w:cs="宋体"/>
          <w:color w:val="000000" w:themeColor="text1"/>
          <w:szCs w:val="21"/>
          <w:highlight w:val="none"/>
          <w:lang w:val="en-US" w:eastAsia="zh-CN"/>
          <w14:textFill>
            <w14:solidFill>
              <w14:schemeClr w14:val="tx1"/>
            </w14:solidFill>
          </w14:textFill>
        </w:rPr>
        <w:t>本项目为</w:t>
      </w:r>
      <w:r>
        <w:rPr>
          <w:rFonts w:hint="eastAsia" w:ascii="宋体" w:hAnsi="宋体" w:cs="宋体"/>
          <w:color w:val="000000" w:themeColor="text1"/>
          <w:szCs w:val="21"/>
          <w:highlight w:val="none"/>
          <w:lang w:val="en-US" w:eastAsia="zh-CN"/>
          <w14:textFill>
            <w14:solidFill>
              <w14:schemeClr w14:val="tx1"/>
            </w14:solidFill>
          </w14:textFill>
        </w:rPr>
        <w:t>苏州市吴江区中医医院（苏州市吴江区第二人民医院）</w:t>
      </w:r>
      <w:r>
        <w:rPr>
          <w:rFonts w:hint="eastAsia" w:ascii="宋体" w:hAnsi="宋体" w:eastAsia="宋体" w:cs="宋体"/>
          <w:color w:val="000000" w:themeColor="text1"/>
          <w:szCs w:val="21"/>
          <w:highlight w:val="none"/>
          <w14:textFill>
            <w14:solidFill>
              <w14:schemeClr w14:val="tx1"/>
            </w14:solidFill>
          </w14:textFill>
        </w:rPr>
        <w:t>在</w:t>
      </w:r>
      <w:r>
        <w:rPr>
          <w:rFonts w:hint="eastAsia" w:ascii="宋体" w:hAnsi="宋体" w:cs="宋体"/>
          <w:color w:val="000000" w:themeColor="text1"/>
          <w:szCs w:val="21"/>
          <w:highlight w:val="none"/>
          <w:lang w:eastAsia="zh-CN"/>
          <w14:textFill>
            <w14:solidFill>
              <w14:schemeClr w14:val="tx1"/>
            </w14:solidFill>
          </w14:textFill>
        </w:rPr>
        <w:t>服务期限内</w:t>
      </w:r>
      <w:r>
        <w:rPr>
          <w:rFonts w:hint="eastAsia" w:ascii="宋体" w:hAnsi="宋体" w:eastAsia="宋体" w:cs="宋体"/>
          <w:color w:val="000000" w:themeColor="text1"/>
          <w:szCs w:val="21"/>
          <w:highlight w:val="none"/>
          <w:lang w:val="en-US" w:eastAsia="zh-CN"/>
          <w14:textFill>
            <w14:solidFill>
              <w14:schemeClr w14:val="tx1"/>
            </w14:solidFill>
          </w14:textFill>
        </w:rPr>
        <w:t>零星</w:t>
      </w:r>
      <w:r>
        <w:rPr>
          <w:rFonts w:hint="eastAsia" w:ascii="宋体" w:hAnsi="宋体" w:cs="宋体"/>
          <w:color w:val="000000" w:themeColor="text1"/>
          <w:szCs w:val="21"/>
          <w:highlight w:val="none"/>
          <w:lang w:val="en-US" w:eastAsia="zh-CN"/>
          <w14:textFill>
            <w14:solidFill>
              <w14:schemeClr w14:val="tx1"/>
            </w14:solidFill>
          </w14:textFill>
        </w:rPr>
        <w:t>工程</w:t>
      </w:r>
      <w:r>
        <w:rPr>
          <w:rFonts w:hint="eastAsia" w:ascii="宋体" w:hAnsi="宋体" w:cs="宋体"/>
          <w:color w:val="000000" w:themeColor="text1"/>
          <w:szCs w:val="21"/>
          <w:highlight w:val="none"/>
          <w14:textFill>
            <w14:solidFill>
              <w14:schemeClr w14:val="tx1"/>
            </w14:solidFill>
          </w14:textFill>
        </w:rPr>
        <w:t>维修</w:t>
      </w:r>
      <w:r>
        <w:rPr>
          <w:rFonts w:hint="eastAsia" w:ascii="宋体" w:hAnsi="宋体" w:cs="宋体"/>
          <w:color w:val="000000" w:themeColor="text1"/>
          <w:szCs w:val="21"/>
          <w:highlight w:val="none"/>
          <w:lang w:val="en-US" w:eastAsia="zh-CN"/>
          <w14:textFill>
            <w14:solidFill>
              <w14:schemeClr w14:val="tx1"/>
            </w14:solidFill>
          </w14:textFill>
        </w:rPr>
        <w:t>项目，包括但不限于：</w:t>
      </w:r>
    </w:p>
    <w:p>
      <w:pPr>
        <w:spacing w:line="400" w:lineRule="exact"/>
        <w:ind w:firstLine="420" w:firstLineChars="200"/>
        <w:rPr>
          <w:rFonts w:hint="eastAsia" w:ascii="Times New Roman" w:hAnsi="Times New Roman"/>
          <w:sz w:val="21"/>
          <w:szCs w:val="21"/>
          <w:lang w:eastAsia="zh-CN"/>
        </w:rPr>
      </w:pPr>
      <w:r>
        <w:rPr>
          <w:rFonts w:hint="eastAsia" w:ascii="宋体" w:hAnsi="宋体"/>
          <w:sz w:val="21"/>
          <w:szCs w:val="21"/>
          <w:lang w:val="en-US" w:eastAsia="zh-CN"/>
        </w:rPr>
        <w:t>工作范围：</w:t>
      </w:r>
      <w:r>
        <w:rPr>
          <w:rFonts w:hint="eastAsia" w:ascii="Times New Roman" w:hAnsi="Times New Roman"/>
          <w:sz w:val="21"/>
          <w:szCs w:val="21"/>
        </w:rPr>
        <w:t>全院范围内的房屋、门窗、吊顶、墙面、地面及其他设施等维护、检修及更换安装。包含但不限于以下具体项目</w:t>
      </w:r>
      <w:r>
        <w:rPr>
          <w:rFonts w:hint="eastAsia" w:ascii="Times New Roman" w:hAnsi="Times New Roman"/>
          <w:sz w:val="21"/>
          <w:szCs w:val="21"/>
          <w:lang w:eastAsia="zh-CN"/>
        </w:rPr>
        <w:t>：</w:t>
      </w:r>
    </w:p>
    <w:p>
      <w:pPr>
        <w:pStyle w:val="8"/>
        <w:spacing w:line="400" w:lineRule="exact"/>
        <w:ind w:firstLine="420" w:firstLineChars="200"/>
        <w:rPr>
          <w:rFonts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1、全院范围内的房屋（瓦屋面、天沟、墙体、防水层、结构、外观、雨棚等损毁渗漏）</w:t>
      </w:r>
    </w:p>
    <w:p>
      <w:pPr>
        <w:pStyle w:val="8"/>
        <w:spacing w:line="400" w:lineRule="exact"/>
        <w:ind w:firstLine="420" w:firstLineChars="200"/>
        <w:rPr>
          <w:rFonts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2、全院范围内的门窗（木门窗、塑钢门窗、纱窗、铝合金门窗、玻璃门、感应门、防盗门、防盗窗等），含五金配件；</w:t>
      </w:r>
    </w:p>
    <w:p>
      <w:pPr>
        <w:pStyle w:val="8"/>
        <w:spacing w:line="400" w:lineRule="exact"/>
        <w:ind w:firstLine="420" w:firstLineChars="200"/>
        <w:rPr>
          <w:rFonts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3、全院范围内的室内外吊顶（石膏板吊顶、铝板吊顶、矿棉板吊顶、硅酸钙板吊顶、塑扣板吊顶、检修孔、线条等）；</w:t>
      </w:r>
    </w:p>
    <w:p>
      <w:pPr>
        <w:pStyle w:val="8"/>
        <w:spacing w:line="400" w:lineRule="exact"/>
        <w:ind w:firstLine="420" w:firstLineChars="200"/>
        <w:rPr>
          <w:rFonts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4、全院范围内的室内外墙面（</w:t>
      </w:r>
      <w:r>
        <w:rPr>
          <w:rFonts w:hint="eastAsia" w:hAnsi="宋体" w:eastAsia="宋体" w:cs="宋体"/>
          <w:sz w:val="21"/>
          <w:szCs w:val="21"/>
        </w:rPr>
        <w:t>装饰板墙面、墙砖、</w:t>
      </w:r>
      <w:r>
        <w:rPr>
          <w:rFonts w:hint="eastAsia" w:hAnsi="宋体" w:eastAsia="宋体" w:cs="宋体"/>
          <w:sz w:val="21"/>
          <w:szCs w:val="21"/>
          <w:lang w:val="en-US" w:eastAsia="zh-CN"/>
        </w:rPr>
        <w:t>幕墙、</w:t>
      </w:r>
      <w:r>
        <w:rPr>
          <w:rFonts w:hint="eastAsia" w:hAnsi="宋体" w:eastAsia="宋体" w:cs="宋体"/>
          <w:sz w:val="21"/>
          <w:szCs w:val="21"/>
        </w:rPr>
        <w:t>大理石、窗台板、电梯门套、涂料等</w:t>
      </w:r>
      <w:r>
        <w:rPr>
          <w:rFonts w:hint="eastAsia" w:ascii="Times New Roman" w:hAnsi="Times New Roman" w:eastAsia="宋体"/>
          <w:sz w:val="21"/>
          <w:szCs w:val="21"/>
        </w:rPr>
        <w:t>）；</w:t>
      </w:r>
    </w:p>
    <w:p>
      <w:pPr>
        <w:pStyle w:val="8"/>
        <w:spacing w:line="400" w:lineRule="exact"/>
        <w:ind w:firstLine="420" w:firstLineChars="200"/>
        <w:rPr>
          <w:rFonts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5、全院范围内的室内外地面（道路、侧平石、地坪、地砖、地板、PVC、大理石、压条等）；</w:t>
      </w:r>
    </w:p>
    <w:p>
      <w:pPr>
        <w:pStyle w:val="8"/>
        <w:spacing w:line="400" w:lineRule="exact"/>
        <w:ind w:firstLine="420" w:firstLineChars="200"/>
        <w:rPr>
          <w:rFonts w:hint="eastAsia" w:ascii="Times New Roman" w:hAnsi="Times New Roman" w:eastAsia="宋体"/>
          <w:sz w:val="21"/>
          <w:szCs w:val="21"/>
        </w:rPr>
      </w:pPr>
      <w:r>
        <w:rPr>
          <w:rFonts w:hint="eastAsia" w:ascii="Times New Roman" w:hAnsi="Times New Roman" w:eastAsia="宋体"/>
          <w:sz w:val="21"/>
          <w:szCs w:val="21"/>
          <w:lang w:val="en-US" w:eastAsia="zh-CN"/>
        </w:rPr>
        <w:t>1.</w:t>
      </w:r>
      <w:r>
        <w:rPr>
          <w:rFonts w:hint="eastAsia" w:ascii="Times New Roman" w:hAnsi="Times New Roman" w:eastAsia="宋体"/>
          <w:sz w:val="21"/>
          <w:szCs w:val="21"/>
        </w:rPr>
        <w:t>6、</w:t>
      </w:r>
      <w:r>
        <w:rPr>
          <w:rFonts w:hint="eastAsia" w:ascii="Times New Roman" w:hAnsi="Times New Roman" w:eastAsia="宋体"/>
          <w:sz w:val="21"/>
          <w:szCs w:val="21"/>
          <w:lang w:val="en-US" w:eastAsia="zh-CN"/>
        </w:rPr>
        <w:t>全院范围内的</w:t>
      </w:r>
      <w:r>
        <w:rPr>
          <w:rFonts w:hint="eastAsia" w:ascii="Times New Roman" w:hAnsi="Times New Roman" w:eastAsia="宋体"/>
          <w:sz w:val="21"/>
          <w:szCs w:val="21"/>
        </w:rPr>
        <w:t>室内外</w:t>
      </w:r>
      <w:r>
        <w:rPr>
          <w:rFonts w:hint="eastAsia" w:ascii="Times New Roman" w:hAnsi="Times New Roman" w:eastAsia="宋体"/>
          <w:sz w:val="21"/>
          <w:szCs w:val="21"/>
          <w:lang w:eastAsia="zh-CN"/>
        </w:rPr>
        <w:t>配电照明、供水、供气等设施（配线、电力电缆、灯具、照明开关、插座、</w:t>
      </w:r>
      <w:r>
        <w:rPr>
          <w:rFonts w:hint="eastAsia" w:ascii="Times New Roman" w:hAnsi="Times New Roman" w:eastAsia="宋体"/>
          <w:sz w:val="21"/>
          <w:szCs w:val="21"/>
          <w:lang w:val="en-US" w:eastAsia="zh-CN"/>
        </w:rPr>
        <w:t>PVC管、PPR管、镀锌管、不锈钢管、铜管、各类接头、水渠</w:t>
      </w:r>
      <w:r>
        <w:rPr>
          <w:rFonts w:hint="eastAsia" w:ascii="Times New Roman" w:hAnsi="Times New Roman" w:eastAsia="宋体"/>
          <w:sz w:val="21"/>
          <w:szCs w:val="21"/>
          <w:lang w:eastAsia="zh-CN"/>
        </w:rPr>
        <w:t>等）；</w:t>
      </w:r>
    </w:p>
    <w:p>
      <w:pPr>
        <w:pStyle w:val="8"/>
        <w:spacing w:line="400" w:lineRule="exact"/>
        <w:ind w:firstLine="420" w:firstLineChars="20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1.7、</w:t>
      </w:r>
      <w:r>
        <w:rPr>
          <w:rFonts w:hint="eastAsia" w:ascii="Times New Roman" w:hAnsi="Times New Roman" w:eastAsia="宋体"/>
          <w:sz w:val="21"/>
          <w:szCs w:val="21"/>
        </w:rPr>
        <w:t>全院范围内的室内外其他设施（楼梯扶手、</w:t>
      </w:r>
      <w:r>
        <w:rPr>
          <w:rFonts w:hint="eastAsia" w:ascii="Times New Roman" w:hAnsi="Times New Roman" w:eastAsia="宋体"/>
          <w:sz w:val="21"/>
          <w:szCs w:val="21"/>
          <w:lang w:eastAsia="zh-CN"/>
        </w:rPr>
        <w:t>电机、</w:t>
      </w:r>
      <w:r>
        <w:rPr>
          <w:rFonts w:hint="eastAsia" w:ascii="Times New Roman" w:hAnsi="Times New Roman" w:eastAsia="宋体"/>
          <w:sz w:val="21"/>
          <w:szCs w:val="21"/>
        </w:rPr>
        <w:t>家具、台盆柜、卫生间隔断、塑钢隔断、标牌、走道靠墙扶手及业主要求检查维修的其他内容）。</w:t>
      </w:r>
    </w:p>
    <w:p>
      <w:pPr>
        <w:pStyle w:val="8"/>
        <w:spacing w:line="400" w:lineRule="exact"/>
        <w:ind w:firstLine="420" w:firstLineChars="200"/>
        <w:rPr>
          <w:rFonts w:hint="eastAsia" w:ascii="Times New Roman" w:hAnsi="Times New Roman" w:eastAsia="宋体"/>
          <w:kern w:val="2"/>
          <w:sz w:val="21"/>
          <w:szCs w:val="21"/>
          <w:lang w:val="en-US" w:eastAsia="zh-CN"/>
        </w:rPr>
      </w:pPr>
      <w:r>
        <w:rPr>
          <w:rFonts w:hint="eastAsia" w:ascii="Times New Roman" w:hAnsi="Times New Roman" w:eastAsia="宋体"/>
          <w:kern w:val="2"/>
          <w:sz w:val="21"/>
          <w:szCs w:val="21"/>
          <w:lang w:val="en-US" w:eastAsia="zh-CN"/>
        </w:rPr>
        <w:t>二、工作要求：</w:t>
      </w:r>
    </w:p>
    <w:p>
      <w:pPr>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2"/>
          <w:sz w:val="21"/>
          <w:szCs w:val="21"/>
          <w:lang w:val="en-US" w:eastAsia="zh-CN"/>
        </w:rPr>
        <w:t>1、</w:t>
      </w:r>
      <w:r>
        <w:rPr>
          <w:rFonts w:hint="eastAsia" w:ascii="Times New Roman" w:hAnsi="Times New Roman" w:eastAsia="宋体" w:cs="Times New Roman"/>
          <w:kern w:val="0"/>
          <w:sz w:val="21"/>
          <w:szCs w:val="21"/>
          <w:lang w:val="en-US" w:eastAsia="zh-CN" w:bidi="ar-SA"/>
        </w:rPr>
        <w:t>各施工单位需委派至少两名维修人员常驻医院并根据维修量的多少及时增加维修人员。维修人员工作时间为周一至周日8:00-17:00.其余时间段根据甲方通知随时响应。</w:t>
      </w:r>
    </w:p>
    <w:p>
      <w:pPr>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2、施工单位必须承担应急抢险任务，安排好备班人员，随时听候医院的调遣，积极参与应急抢险任务。</w:t>
      </w:r>
    </w:p>
    <w:p>
      <w:pPr>
        <w:spacing w:line="400" w:lineRule="exact"/>
        <w:ind w:firstLine="420" w:firstLineChars="200"/>
        <w:rPr>
          <w:rFonts w:hint="eastAsia" w:ascii="Times New Roman" w:hAnsi="Times New Roman" w:eastAsia="宋体"/>
          <w:kern w:val="2"/>
          <w:sz w:val="21"/>
          <w:szCs w:val="21"/>
          <w:lang w:val="en-US" w:eastAsia="zh-CN"/>
        </w:rPr>
      </w:pPr>
      <w:r>
        <w:rPr>
          <w:rFonts w:hint="eastAsia" w:ascii="Times New Roman" w:hAnsi="Times New Roman" w:eastAsia="宋体" w:cs="Times New Roman"/>
          <w:kern w:val="0"/>
          <w:sz w:val="21"/>
          <w:szCs w:val="21"/>
          <w:lang w:val="en-US" w:eastAsia="zh-CN" w:bidi="ar-SA"/>
        </w:rPr>
        <w:t>3、各施工单位维修人员均须按规范要求持证上岗，严格按照“劳动法”和相关法律法规的要求合法用工</w:t>
      </w:r>
      <w:r>
        <w:rPr>
          <w:rFonts w:hint="eastAsia" w:ascii="Times New Roman" w:hAnsi="Times New Roman" w:eastAsia="宋体"/>
          <w:kern w:val="2"/>
          <w:sz w:val="21"/>
          <w:szCs w:val="21"/>
          <w:lang w:val="en-US" w:eastAsia="zh-CN"/>
        </w:rPr>
        <w:t>，自行处理劳务纠纷。</w:t>
      </w:r>
    </w:p>
    <w:p>
      <w:pPr>
        <w:pStyle w:val="8"/>
        <w:spacing w:line="400" w:lineRule="exact"/>
        <w:ind w:firstLine="420" w:firstLineChars="200"/>
        <w:rPr>
          <w:rFonts w:hint="eastAsia" w:ascii="Times New Roman" w:hAnsi="Times New Roman" w:eastAsia="宋体"/>
          <w:kern w:val="2"/>
          <w:sz w:val="21"/>
          <w:szCs w:val="21"/>
          <w:lang w:val="en-US" w:eastAsia="zh-CN"/>
        </w:rPr>
      </w:pPr>
      <w:r>
        <w:rPr>
          <w:rFonts w:hint="eastAsia" w:ascii="Times New Roman" w:hAnsi="Times New Roman" w:eastAsia="宋体"/>
          <w:kern w:val="2"/>
          <w:sz w:val="21"/>
          <w:szCs w:val="21"/>
          <w:lang w:val="en-US" w:eastAsia="zh-CN"/>
        </w:rPr>
        <w:t>4、对于出现故障，接医院通知后，必须在10分钟内到达现场进行处理，常规故障处理30分钟内完成；如遇特殊情况，经双方协商同意，服务商可在医院同意的时间内到达现场维修；成交人须备常规部件。一般部件更换，4小时内维修完成；非常用部件更换，须在6小时内维修完成；特殊情况双方协商解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5、</w:t>
      </w:r>
      <w:r>
        <w:rPr>
          <w:rFonts w:hint="eastAsia" w:ascii="宋体" w:hAnsi="宋体" w:cs="宋体"/>
          <w:szCs w:val="21"/>
          <w:highlight w:val="none"/>
        </w:rPr>
        <w:t>施工组织设计包括总体概述、施工总体进度计划、分部分项工程施工方案应科学合理；劳动力配备合理，工作任务明确，人员组织到位；机械设备投入符合项目要求，有详尽的计划，项目实施进度、时间，关键节点和里程碑设置清晰准确；安全文明施工措施、季节性施工措施科学、合理、操作性强，施工质量保证措施科学、合理，给出应对措施验收条件明晰可行等内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根据本项目情况，施工单位应编制完善的施工方案，应包括但不限于施工方式、详细施工计划、安全防护措施、安全操作规程等内容。</w:t>
      </w:r>
    </w:p>
    <w:p>
      <w:pPr>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宋体" w:hAnsi="宋体" w:cs="宋体"/>
          <w:szCs w:val="21"/>
          <w:highlight w:val="none"/>
          <w:lang w:val="en-US" w:eastAsia="zh-CN"/>
        </w:rPr>
        <w:t>7</w:t>
      </w:r>
      <w:r>
        <w:rPr>
          <w:rFonts w:hint="eastAsia" w:ascii="Times New Roman" w:hAnsi="Times New Roman" w:eastAsia="宋体" w:cs="Times New Roman"/>
          <w:kern w:val="0"/>
          <w:sz w:val="21"/>
          <w:szCs w:val="21"/>
          <w:lang w:val="en-US" w:eastAsia="zh-CN" w:bidi="ar-SA"/>
        </w:rPr>
        <w:t>、施工质量应符合现行国家技术、施工及验收规范，对施工工艺的特殊要求，按设计图纸（如有）及国家有关规定执行。</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三、人员要求：施工单位需组建项目服务小组，为本项目配备技术负责人、施工员、质检员、安全员、材料员且各施工人员持有相应岗位证书。</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四、验收要求：由医院对成交人所提供的维修服务进行验收，需达到医院使用要求。</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五、售后服务要求：</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1、质保期：所有涉及更换的产品质保期≥1年。（人为因素除外） </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2、提供维修队伍以及项目现场负责人员名单。 </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3、施工单位必须明确作出服务承诺，详细阐述维修、内容及服务方式和范围。</w:t>
      </w:r>
    </w:p>
    <w:p>
      <w:pPr>
        <w:pStyle w:val="8"/>
        <w:spacing w:line="400" w:lineRule="exact"/>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4、对于出现故障，接医院通知后，必须在10分钟内到达现场进行处理，常规故障处理30分钟内完成；如遇特殊情况，经双方协商同意，服务商可在医院同意的时间内到达现场维修；成交人须备常规部件。一般部件更换，4小时内维修完成；非常用部件更换，须在6小时内维修完成；特殊情况双方协商解决。</w:t>
      </w:r>
    </w:p>
    <w:p>
      <w:pPr>
        <w:spacing w:line="400" w:lineRule="exact"/>
        <w:ind w:right="-159"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六、报价要求：</w:t>
      </w:r>
    </w:p>
    <w:p>
      <w:pPr>
        <w:keepNext w:val="0"/>
        <w:keepLines w:val="0"/>
        <w:pageBreakBefore w:val="0"/>
        <w:widowControl/>
        <w:wordWrap/>
        <w:overflowPunct/>
        <w:autoSpaceDN/>
        <w:bidi w:val="0"/>
        <w:adjustRightInd/>
        <w:snapToGrid/>
        <w:spacing w:line="288" w:lineRule="auto"/>
        <w:jc w:val="left"/>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报价方式：包含含勘察现场、人工费、材料费、机械费、管理费、税金、规费、安全文明措施费、夜间施工费、交通运输等各项应有费用。本次调研文件中零星维修清单中的项目是医院服务期限中可能需要进行的维修项目，请各施工单位在不超过单价最高限价的基础上统一报下浮率，单价不变、按实结算，此下浮率适用所有维修项目。（举例说明：如零星维修项目单价最高限价为100元，服务单位下浮率为5%，则最终结算价为95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wordWrap/>
              <w:overflowPunct/>
              <w:autoSpaceDN/>
              <w:bidi w:val="0"/>
              <w:adjustRightInd/>
              <w:snapToGrid/>
              <w:spacing w:line="288" w:lineRule="auto"/>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响应单位</w:t>
            </w:r>
          </w:p>
        </w:tc>
        <w:tc>
          <w:tcPr>
            <w:tcW w:w="2130" w:type="dxa"/>
            <w:noWrap w:val="0"/>
            <w:vAlign w:val="top"/>
          </w:tcPr>
          <w:p>
            <w:pPr>
              <w:keepNext w:val="0"/>
              <w:keepLines w:val="0"/>
              <w:pageBreakBefore w:val="0"/>
              <w:widowControl/>
              <w:wordWrap/>
              <w:overflowPunct/>
              <w:autoSpaceDN/>
              <w:bidi w:val="0"/>
              <w:adjustRightInd/>
              <w:snapToGrid/>
              <w:spacing w:line="288" w:lineRule="auto"/>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项目名称</w:t>
            </w:r>
          </w:p>
        </w:tc>
        <w:tc>
          <w:tcPr>
            <w:tcW w:w="2131" w:type="dxa"/>
            <w:noWrap w:val="0"/>
            <w:vAlign w:val="top"/>
          </w:tcPr>
          <w:p>
            <w:pPr>
              <w:keepNext w:val="0"/>
              <w:keepLines w:val="0"/>
              <w:pageBreakBefore w:val="0"/>
              <w:widowControl/>
              <w:wordWrap/>
              <w:overflowPunct/>
              <w:autoSpaceDN/>
              <w:bidi w:val="0"/>
              <w:adjustRightInd/>
              <w:snapToGrid/>
              <w:spacing w:line="288" w:lineRule="auto"/>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报价（下浮率%）</w:t>
            </w:r>
          </w:p>
        </w:tc>
        <w:tc>
          <w:tcPr>
            <w:tcW w:w="2131" w:type="dxa"/>
            <w:noWrap w:val="0"/>
            <w:vAlign w:val="top"/>
          </w:tcPr>
          <w:p>
            <w:pPr>
              <w:keepNext w:val="0"/>
              <w:keepLines w:val="0"/>
              <w:pageBreakBefore w:val="0"/>
              <w:widowControl/>
              <w:wordWrap/>
              <w:overflowPunct/>
              <w:autoSpaceDN/>
              <w:bidi w:val="0"/>
              <w:adjustRightInd/>
              <w:snapToGrid/>
              <w:spacing w:line="288" w:lineRule="auto"/>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wordWrap/>
              <w:overflowPunct/>
              <w:autoSpaceDN/>
              <w:bidi w:val="0"/>
              <w:adjustRightInd/>
              <w:snapToGrid/>
              <w:spacing w:line="288" w:lineRule="auto"/>
              <w:jc w:val="left"/>
              <w:textAlignment w:val="auto"/>
              <w:rPr>
                <w:rFonts w:hint="eastAsia" w:ascii="Times New Roman" w:hAnsi="Times New Roman" w:eastAsia="宋体" w:cs="Times New Roman"/>
                <w:kern w:val="0"/>
                <w:sz w:val="21"/>
                <w:szCs w:val="21"/>
                <w:lang w:val="en-US" w:eastAsia="zh-CN" w:bidi="ar-SA"/>
              </w:rPr>
            </w:pPr>
          </w:p>
        </w:tc>
        <w:tc>
          <w:tcPr>
            <w:tcW w:w="2130" w:type="dxa"/>
            <w:noWrap w:val="0"/>
            <w:vAlign w:val="top"/>
          </w:tcPr>
          <w:p>
            <w:pPr>
              <w:keepNext w:val="0"/>
              <w:keepLines w:val="0"/>
              <w:pageBreakBefore w:val="0"/>
              <w:widowControl/>
              <w:wordWrap/>
              <w:overflowPunct/>
              <w:autoSpaceDN/>
              <w:bidi w:val="0"/>
              <w:adjustRightInd/>
              <w:snapToGrid/>
              <w:spacing w:line="288" w:lineRule="auto"/>
              <w:jc w:val="left"/>
              <w:textAlignment w:val="auto"/>
              <w:rPr>
                <w:rFonts w:hint="eastAsia" w:ascii="Times New Roman" w:hAnsi="Times New Roman" w:eastAsia="宋体" w:cs="Times New Roman"/>
                <w:kern w:val="0"/>
                <w:sz w:val="21"/>
                <w:szCs w:val="21"/>
                <w:lang w:val="en-US" w:eastAsia="zh-CN" w:bidi="ar-SA"/>
              </w:rPr>
            </w:pPr>
          </w:p>
        </w:tc>
        <w:tc>
          <w:tcPr>
            <w:tcW w:w="2131" w:type="dxa"/>
            <w:noWrap w:val="0"/>
            <w:vAlign w:val="top"/>
          </w:tcPr>
          <w:p>
            <w:pPr>
              <w:keepNext w:val="0"/>
              <w:keepLines w:val="0"/>
              <w:pageBreakBefore w:val="0"/>
              <w:widowControl/>
              <w:wordWrap/>
              <w:overflowPunct/>
              <w:autoSpaceDN/>
              <w:bidi w:val="0"/>
              <w:adjustRightInd/>
              <w:snapToGrid/>
              <w:spacing w:line="288" w:lineRule="auto"/>
              <w:jc w:val="left"/>
              <w:textAlignment w:val="auto"/>
              <w:rPr>
                <w:rFonts w:hint="eastAsia" w:ascii="Times New Roman" w:hAnsi="Times New Roman" w:eastAsia="宋体" w:cs="Times New Roman"/>
                <w:kern w:val="0"/>
                <w:sz w:val="21"/>
                <w:szCs w:val="21"/>
                <w:lang w:val="en-US" w:eastAsia="zh-CN" w:bidi="ar-SA"/>
              </w:rPr>
            </w:pPr>
          </w:p>
        </w:tc>
        <w:tc>
          <w:tcPr>
            <w:tcW w:w="2131" w:type="dxa"/>
            <w:noWrap w:val="0"/>
            <w:vAlign w:val="top"/>
          </w:tcPr>
          <w:p>
            <w:pPr>
              <w:keepNext w:val="0"/>
              <w:keepLines w:val="0"/>
              <w:pageBreakBefore w:val="0"/>
              <w:widowControl/>
              <w:wordWrap/>
              <w:overflowPunct/>
              <w:autoSpaceDN/>
              <w:bidi w:val="0"/>
              <w:adjustRightInd/>
              <w:snapToGrid/>
              <w:spacing w:line="288" w:lineRule="auto"/>
              <w:jc w:val="left"/>
              <w:textAlignment w:val="auto"/>
              <w:rPr>
                <w:rFonts w:hint="eastAsia" w:ascii="Times New Roman" w:hAnsi="Times New Roman" w:eastAsia="宋体" w:cs="Times New Roman"/>
                <w:kern w:val="0"/>
                <w:sz w:val="21"/>
                <w:szCs w:val="21"/>
                <w:lang w:val="en-US" w:eastAsia="zh-CN" w:bidi="ar-SA"/>
              </w:rPr>
            </w:pPr>
          </w:p>
        </w:tc>
      </w:tr>
    </w:tbl>
    <w:p>
      <w:pPr>
        <w:spacing w:line="400" w:lineRule="exact"/>
        <w:rPr>
          <w:color w:val="000000"/>
          <w:szCs w:val="21"/>
          <w:lang w:val="zh-CN"/>
        </w:rPr>
      </w:pPr>
    </w:p>
    <w:p>
      <w:pPr>
        <w:spacing w:line="400" w:lineRule="exact"/>
        <w:rPr>
          <w:rFonts w:hint="eastAsia" w:ascii="宋体" w:hAnsi="宋体" w:cs="宋体"/>
        </w:rPr>
      </w:pPr>
      <w:r>
        <w:rPr>
          <w:rFonts w:hint="eastAsia" w:ascii="宋体" w:hAnsi="宋体" w:cs="宋体"/>
        </w:rPr>
        <w:t>2、各</w:t>
      </w:r>
      <w:r>
        <w:rPr>
          <w:rFonts w:hint="eastAsia" w:ascii="宋体" w:hAnsi="宋体" w:cs="宋体"/>
          <w:lang w:eastAsia="zh-CN"/>
        </w:rPr>
        <w:t>施工单位</w:t>
      </w:r>
      <w:r>
        <w:rPr>
          <w:rFonts w:hint="eastAsia" w:ascii="宋体" w:hAnsi="宋体" w:cs="宋体"/>
        </w:rPr>
        <w:t>须对所有服务进行报价，否则视为无效。</w:t>
      </w:r>
    </w:p>
    <w:p>
      <w:pPr>
        <w:spacing w:line="400" w:lineRule="exact"/>
        <w:ind w:right="-159" w:firstLine="420" w:firstLineChars="200"/>
        <w:rPr>
          <w:rFonts w:hint="eastAsia" w:ascii="宋体" w:hAnsi="宋体" w:cs="宋体"/>
        </w:rPr>
      </w:pPr>
      <w:r>
        <w:rPr>
          <w:rFonts w:hint="eastAsia" w:ascii="宋体" w:hAnsi="宋体" w:cs="宋体"/>
        </w:rPr>
        <w:t>（1）以人民币报价；按附表格式进行报价；</w:t>
      </w:r>
    </w:p>
    <w:p>
      <w:pPr>
        <w:spacing w:line="400" w:lineRule="exact"/>
        <w:ind w:right="-159" w:firstLine="420" w:firstLineChars="200"/>
        <w:rPr>
          <w:rFonts w:hint="eastAsia" w:ascii="宋体" w:hAnsi="宋体" w:eastAsia="宋体"/>
          <w:bCs/>
          <w:szCs w:val="21"/>
          <w:lang w:eastAsia="zh-CN"/>
        </w:rPr>
      </w:pPr>
      <w:r>
        <w:rPr>
          <w:rFonts w:hint="eastAsia" w:ascii="宋体" w:hAnsi="宋体" w:cs="宋体"/>
        </w:rPr>
        <w:t>（2）本次</w:t>
      </w:r>
      <w:r>
        <w:rPr>
          <w:rFonts w:hint="eastAsia" w:ascii="宋体" w:hAnsi="宋体" w:cs="宋体"/>
          <w:lang w:val="en-US" w:eastAsia="zh-CN"/>
        </w:rPr>
        <w:t>调研</w:t>
      </w:r>
      <w:r>
        <w:rPr>
          <w:rFonts w:hint="eastAsia" w:ascii="宋体" w:hAnsi="宋体" w:cs="宋体"/>
        </w:rPr>
        <w:t>的报价为本项目的总报价。</w:t>
      </w:r>
      <w:bookmarkStart w:id="0" w:name="_GoBack"/>
      <w:bookmarkEnd w:id="0"/>
    </w:p>
    <w:p>
      <w:pPr>
        <w:pStyle w:val="9"/>
        <w:keepNext w:val="0"/>
        <w:keepLines w:val="0"/>
        <w:pageBreakBefore w:val="0"/>
        <w:numPr>
          <w:ilvl w:val="0"/>
          <w:numId w:val="0"/>
        </w:numPr>
        <w:wordWrap/>
        <w:overflowPunct/>
        <w:autoSpaceDN/>
        <w:bidi w:val="0"/>
        <w:adjustRightInd/>
        <w:snapToGrid/>
        <w:spacing w:line="288" w:lineRule="auto"/>
        <w:textAlignment w:val="auto"/>
      </w:pPr>
      <w:r>
        <w:rPr>
          <w:rFonts w:hint="eastAsia" w:ascii="宋体" w:hAnsi="宋体" w:eastAsia="宋体" w:cs="宋体"/>
          <w:color w:val="auto"/>
          <w:sz w:val="21"/>
          <w:szCs w:val="21"/>
          <w:lang w:val="en-US" w:eastAsia="zh-CN"/>
        </w:rPr>
        <w:t>3、</w:t>
      </w:r>
      <w:r>
        <w:rPr>
          <w:rFonts w:hint="eastAsia" w:ascii="宋体" w:hAnsi="宋体" w:eastAsia="宋体" w:cs="宋体"/>
          <w:color w:val="000000" w:themeColor="text1"/>
          <w:sz w:val="21"/>
          <w:szCs w:val="21"/>
          <w:lang w:val="en-US" w:eastAsia="zh-CN"/>
          <w14:textFill>
            <w14:solidFill>
              <w14:schemeClr w14:val="tx1"/>
            </w14:solidFill>
          </w14:textFill>
        </w:rPr>
        <w:t>零星维修工程项目的总价根据实际的维修项目的工程量以实际发生的为准，</w:t>
      </w:r>
      <w:r>
        <w:rPr>
          <w:rFonts w:hint="eastAsia" w:ascii="宋体" w:hAnsi="宋体" w:cs="宋体"/>
          <w:color w:val="000000" w:themeColor="text1"/>
          <w:sz w:val="21"/>
          <w:szCs w:val="21"/>
          <w:lang w:val="en-US" w:eastAsia="zh-CN"/>
          <w14:textFill>
            <w14:solidFill>
              <w14:schemeClr w14:val="tx1"/>
            </w14:solidFill>
          </w14:textFill>
        </w:rPr>
        <w:t>发布任务前填写维修表单，</w:t>
      </w:r>
      <w:r>
        <w:rPr>
          <w:rFonts w:hint="eastAsia" w:ascii="宋体" w:hAnsi="宋体" w:eastAsia="宋体" w:cs="宋体"/>
          <w:color w:val="000000" w:themeColor="text1"/>
          <w:sz w:val="21"/>
          <w:szCs w:val="21"/>
          <w:lang w:val="en-US" w:eastAsia="zh-CN"/>
          <w14:textFill>
            <w14:solidFill>
              <w14:schemeClr w14:val="tx1"/>
            </w14:solidFill>
          </w14:textFill>
        </w:rPr>
        <w:t>维修单价以《零星工程参考单价》以及合同约定下浮幅度计算</w:t>
      </w:r>
      <w:r>
        <w:rPr>
          <w:rFonts w:hint="eastAsia" w:ascii="宋体" w:hAnsi="宋体" w:cs="宋体"/>
          <w:color w:val="000000" w:themeColor="text1"/>
          <w:sz w:val="21"/>
          <w:szCs w:val="21"/>
          <w:lang w:val="en-US" w:eastAsia="zh-CN"/>
          <w14:textFill>
            <w14:solidFill>
              <w14:schemeClr w14:val="tx1"/>
            </w14:solidFill>
          </w14:textFill>
        </w:rPr>
        <w:t>，未列入《零星工程参考单价》的项目按照新点工程造价软件为定额标准后，再同等下浮幅度计算</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kern w:val="0"/>
          <w:szCs w:val="21"/>
          <w:lang w:eastAsia="zh-CN" w:bidi="ar"/>
          <w14:textFill>
            <w14:solidFill>
              <w14:schemeClr w14:val="tx1"/>
            </w14:solidFill>
          </w14:textFill>
        </w:rPr>
        <w:t>最终服务费用</w:t>
      </w:r>
      <w:r>
        <w:rPr>
          <w:rFonts w:hint="eastAsia" w:ascii="宋体" w:hAnsi="宋体" w:cs="宋体"/>
          <w:b w:val="0"/>
          <w:bCs w:val="0"/>
          <w:color w:val="000000" w:themeColor="text1"/>
          <w:kern w:val="0"/>
          <w:szCs w:val="21"/>
          <w:lang w:bidi="ar"/>
          <w14:textFill>
            <w14:solidFill>
              <w14:schemeClr w14:val="tx1"/>
            </w14:solidFill>
          </w14:textFill>
        </w:rPr>
        <w:t>根据审计事务所的审计价格进行结算</w:t>
      </w:r>
      <w:r>
        <w:rPr>
          <w:rFonts w:hint="eastAsia" w:ascii="宋体" w:hAnsi="宋体" w:cs="宋体"/>
          <w:b w:val="0"/>
          <w:bCs w:val="0"/>
          <w:color w:val="000000" w:themeColor="text1"/>
          <w:kern w:val="0"/>
          <w:szCs w:val="21"/>
          <w:lang w:eastAsia="zh-CN" w:bidi="ar"/>
          <w14:textFill>
            <w14:solidFill>
              <w14:schemeClr w14:val="tx1"/>
            </w14:solidFill>
          </w14:textFill>
        </w:rPr>
        <w:t>，按季度结算。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YjM1YmUzNGEyODhkNmJjMjFmZDFiNDgzYTFjMDYifQ=="/>
  </w:docVars>
  <w:rsids>
    <w:rsidRoot w:val="00000000"/>
    <w:rsid w:val="01DF79C5"/>
    <w:rsid w:val="095B5F82"/>
    <w:rsid w:val="098D5F59"/>
    <w:rsid w:val="1088093B"/>
    <w:rsid w:val="202D14D0"/>
    <w:rsid w:val="2174777F"/>
    <w:rsid w:val="25AA4EC4"/>
    <w:rsid w:val="28AF339E"/>
    <w:rsid w:val="29FD282F"/>
    <w:rsid w:val="33714F18"/>
    <w:rsid w:val="35867B7C"/>
    <w:rsid w:val="3A0948D8"/>
    <w:rsid w:val="43167D34"/>
    <w:rsid w:val="48C54187"/>
    <w:rsid w:val="5952374E"/>
    <w:rsid w:val="5F2E2567"/>
    <w:rsid w:val="66D4191C"/>
    <w:rsid w:val="67923940"/>
    <w:rsid w:val="69AC2B07"/>
    <w:rsid w:val="7D30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400" w:lineRule="exact"/>
    </w:pPr>
    <w:rPr>
      <w:rFonts w:ascii="楷体_GB2312" w:eastAsia="宋体"/>
      <w:sz w:val="28"/>
    </w:rPr>
  </w:style>
  <w:style w:type="paragraph" w:styleId="3">
    <w:name w:val="Body Text Indent 3"/>
    <w:basedOn w:val="1"/>
    <w:qFormat/>
    <w:uiPriority w:val="0"/>
    <w:pPr>
      <w:spacing w:line="440" w:lineRule="atLeast"/>
      <w:ind w:firstLine="480" w:firstLineChars="200"/>
      <w:jc w:val="left"/>
    </w:pPr>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1"/>
    <w:next w:val="1"/>
    <w:qFormat/>
    <w:uiPriority w:val="0"/>
    <w:rPr>
      <w:rFonts w:ascii="Calibri" w:hAnsi="Calibri" w:eastAsia="宋体" w:cs="Times New Roman"/>
      <w:sz w:val="24"/>
      <w:szCs w:val="24"/>
      <w:lang w:val="en-US" w:eastAsia="zh-CN" w:bidi="ar-SA"/>
    </w:rPr>
  </w:style>
  <w:style w:type="paragraph" w:customStyle="1" w:styleId="8">
    <w:name w:val="Plain Text"/>
    <w:basedOn w:val="1"/>
    <w:qFormat/>
    <w:uiPriority w:val="0"/>
    <w:pPr>
      <w:adjustRightInd w:val="0"/>
    </w:pPr>
    <w:rPr>
      <w:rFonts w:ascii="宋体" w:hAnsi="Courier New" w:eastAsia="楷体_GB2312"/>
      <w:kern w:val="0"/>
      <w:sz w:val="26"/>
    </w:rPr>
  </w:style>
  <w:style w:type="paragraph" w:styleId="9">
    <w:name w:val="List Paragraph"/>
    <w:basedOn w:val="1"/>
    <w:qFormat/>
    <w:uiPriority w:val="34"/>
    <w:pPr>
      <w:widowControl w:val="0"/>
      <w:ind w:firstLine="420" w:firstLineChars="200"/>
      <w:jc w:val="both"/>
    </w:pPr>
    <w:rPr>
      <w:rFonts w:ascii="Calibri" w:hAnsi="Calibri" w:cs="Times New Roman"/>
      <w:kern w:val="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1917</Words>
  <Characters>1955</Characters>
  <Lines>0</Lines>
  <Paragraphs>0</Paragraphs>
  <TotalTime>3</TotalTime>
  <ScaleCrop>false</ScaleCrop>
  <LinksUpToDate>false</LinksUpToDate>
  <CharactersWithSpaces>1957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2024-05-25T01:14:00Z</dcterms:created>
  <dc:creator>Administrator</dc:creator>
  <cp:lastModifiedBy>WPS_403669750</cp:lastModifiedBy>
  <cp:lastPrinted>2024-06-19T07:38:00Z</cp:lastPrinted>
  <dcterms:modified xsi:type="dcterms:W3CDTF">2024-06-20T07:01:32Z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43FFF92215344921935E8CB275CAAF51_13</vt:lpwstr>
  </property>
</Properties>
</file>