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0B59">
      <w:pPr>
        <w:pStyle w:val="5"/>
        <w:pageBreakBefore w:val="0"/>
        <w:kinsoku/>
        <w:wordWrap/>
        <w:overflowPunct/>
        <w:topLinePunct w:val="0"/>
        <w:autoSpaceDE/>
        <w:autoSpaceDN/>
        <w:bidi w:val="0"/>
        <w:adjustRightInd/>
        <w:snapToGrid/>
        <w:spacing w:after="0" w:line="400" w:lineRule="exact"/>
        <w:ind w:firstLine="560"/>
        <w:textAlignment w:val="auto"/>
        <w:rPr>
          <w:rFonts w:hint="eastAsia" w:ascii="仿宋" w:hAnsi="仿宋" w:eastAsia="仿宋" w:cs="仿宋"/>
          <w:b/>
          <w:bCs/>
          <w:sz w:val="32"/>
          <w:szCs w:val="32"/>
        </w:rPr>
      </w:pPr>
      <w:bookmarkStart w:id="0" w:name="_Toc28359089"/>
      <w:bookmarkStart w:id="1" w:name="_Toc35393798"/>
      <w:bookmarkStart w:id="2" w:name="_Toc35393629"/>
      <w:bookmarkStart w:id="3" w:name="_Toc28359012"/>
      <w:bookmarkStart w:id="14" w:name="_GoBack"/>
      <w:bookmarkEnd w:id="14"/>
      <w:r>
        <w:rPr>
          <w:rFonts w:hint="eastAsia" w:ascii="仿宋" w:hAnsi="仿宋" w:eastAsia="仿宋" w:cs="仿宋"/>
          <w:b/>
          <w:bCs/>
          <w:sz w:val="32"/>
          <w:szCs w:val="32"/>
        </w:rPr>
        <w:t>一、项目基本情况</w:t>
      </w:r>
      <w:bookmarkEnd w:id="0"/>
      <w:bookmarkEnd w:id="1"/>
      <w:bookmarkEnd w:id="2"/>
      <w:bookmarkEnd w:id="3"/>
    </w:p>
    <w:p w14:paraId="52DD280D">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sz w:val="24"/>
          <w:szCs w:val="24"/>
          <w:lang w:eastAsia="zh-CN"/>
        </w:rPr>
      </w:pPr>
      <w:r>
        <w:rPr>
          <w:rFonts w:hint="eastAsia" w:ascii="仿宋" w:hAnsi="仿宋" w:eastAsia="仿宋" w:cs="仿宋"/>
          <w:sz w:val="24"/>
          <w:szCs w:val="24"/>
        </w:rPr>
        <w:t>1.项目名称：</w:t>
      </w:r>
      <w:r>
        <w:rPr>
          <w:rFonts w:hint="eastAsia" w:ascii="仿宋" w:hAnsi="仿宋" w:eastAsia="仿宋" w:cs="仿宋"/>
          <w:sz w:val="24"/>
          <w:szCs w:val="24"/>
          <w:lang w:eastAsia="zh-CN"/>
        </w:rPr>
        <w:t>电力采购遴选</w:t>
      </w:r>
      <w:r>
        <w:rPr>
          <w:rFonts w:hint="eastAsia" w:ascii="仿宋" w:hAnsi="仿宋" w:eastAsia="仿宋" w:cs="仿宋"/>
          <w:sz w:val="24"/>
          <w:szCs w:val="24"/>
        </w:rPr>
        <w:t>市场化购</w:t>
      </w:r>
      <w:r>
        <w:rPr>
          <w:rFonts w:hint="eastAsia" w:ascii="仿宋" w:hAnsi="仿宋" w:eastAsia="仿宋" w:cs="仿宋"/>
          <w:sz w:val="24"/>
          <w:szCs w:val="24"/>
          <w:lang w:eastAsia="zh-CN"/>
        </w:rPr>
        <w:t>电供应商</w:t>
      </w:r>
    </w:p>
    <w:p w14:paraId="0B48B263">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b/>
          <w:bCs/>
          <w:sz w:val="24"/>
          <w:szCs w:val="24"/>
          <w:highlight w:val="none"/>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.最高限</w:t>
      </w:r>
      <w:r>
        <w:rPr>
          <w:rFonts w:hint="eastAsia" w:ascii="仿宋" w:hAnsi="仿宋" w:eastAsia="仿宋" w:cs="仿宋"/>
          <w:sz w:val="24"/>
          <w:szCs w:val="24"/>
          <w:lang w:eastAsia="zh-CN"/>
        </w:rPr>
        <w:t>单价</w:t>
      </w:r>
      <w:r>
        <w:rPr>
          <w:rFonts w:hint="eastAsia" w:ascii="仿宋" w:hAnsi="仿宋" w:eastAsia="仿宋" w:cs="仿宋"/>
          <w:b/>
          <w:bCs/>
          <w:sz w:val="24"/>
          <w:szCs w:val="24"/>
          <w:highlight w:val="none"/>
        </w:rPr>
        <w:t>：让利</w:t>
      </w:r>
      <w:r>
        <w:rPr>
          <w:rFonts w:hint="eastAsia" w:ascii="仿宋" w:hAnsi="仿宋" w:eastAsia="仿宋" w:cs="仿宋"/>
          <w:sz w:val="24"/>
          <w:szCs w:val="24"/>
          <w:highlight w:val="none"/>
          <w:lang w:eastAsia="zh-CN"/>
        </w:rPr>
        <w:t>≥</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shd w:val="clear" w:color="auto" w:fill="auto"/>
          <w:lang w:val="en-US" w:eastAsia="zh-CN"/>
        </w:rPr>
        <w:t>分</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千瓦时</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eastAsia="zh-CN"/>
        </w:rPr>
        <w:t>参考价格为《国网江苏省电力有限公司代理工商业用户电价表》公示的价格，以下称“国网代理购电价”。</w:t>
      </w:r>
    </w:p>
    <w:p w14:paraId="56370600">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3</w:t>
      </w:r>
      <w:r>
        <w:rPr>
          <w:rFonts w:hint="eastAsia" w:ascii="仿宋" w:hAnsi="仿宋" w:eastAsia="仿宋" w:cs="仿宋"/>
          <w:sz w:val="24"/>
          <w:szCs w:val="24"/>
        </w:rPr>
        <w:t>.采购需求：第</w:t>
      </w:r>
      <w:r>
        <w:rPr>
          <w:rFonts w:hint="eastAsia" w:ascii="仿宋" w:hAnsi="仿宋" w:eastAsia="仿宋" w:cs="仿宋"/>
          <w:sz w:val="24"/>
          <w:szCs w:val="24"/>
          <w:lang w:eastAsia="zh-CN"/>
        </w:rPr>
        <w:t>二</w:t>
      </w:r>
      <w:r>
        <w:rPr>
          <w:rFonts w:hint="eastAsia" w:ascii="仿宋" w:hAnsi="仿宋" w:eastAsia="仿宋" w:cs="仿宋"/>
          <w:sz w:val="24"/>
          <w:szCs w:val="24"/>
        </w:rPr>
        <w:t>章。</w:t>
      </w:r>
    </w:p>
    <w:p w14:paraId="16DB1394">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b w:val="0"/>
          <w:bCs w:val="0"/>
          <w:i w:val="0"/>
          <w:caps w:val="0"/>
          <w:color w:val="333333"/>
          <w:spacing w:val="0"/>
          <w:sz w:val="24"/>
          <w:szCs w:val="24"/>
          <w:highlight w:val="yellow"/>
          <w:u w:val="none"/>
          <w:shd w:val="clear" w:color="auto" w:fill="FFFFFF"/>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.合同</w:t>
      </w:r>
      <w:r>
        <w:rPr>
          <w:rFonts w:hint="eastAsia" w:ascii="仿宋" w:hAnsi="仿宋" w:eastAsia="仿宋" w:cs="仿宋"/>
          <w:sz w:val="24"/>
          <w:szCs w:val="24"/>
          <w:highlight w:val="none"/>
        </w:rPr>
        <w:t>履行期限：</w:t>
      </w:r>
      <w:r>
        <w:rPr>
          <w:rFonts w:hint="eastAsia" w:ascii="仿宋" w:hAnsi="仿宋" w:eastAsia="仿宋" w:cs="仿宋"/>
          <w:b w:val="0"/>
          <w:bCs w:val="0"/>
          <w:i w:val="0"/>
          <w:caps w:val="0"/>
          <w:color w:val="333333"/>
          <w:spacing w:val="0"/>
          <w:sz w:val="24"/>
          <w:szCs w:val="24"/>
          <w:highlight w:val="none"/>
          <w:u w:val="none"/>
          <w:shd w:val="clear" w:color="auto" w:fill="FFFFFF"/>
          <w:lang w:val="en-US" w:eastAsia="zh-CN"/>
        </w:rPr>
        <w:t>按合同签订次月起计算，至少满足一年。合同履行良好可续签两年。</w:t>
      </w:r>
    </w:p>
    <w:p w14:paraId="594FDBDA">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.本项目是否接受联合体：否。</w:t>
      </w:r>
    </w:p>
    <w:p w14:paraId="253E9A05">
      <w:pPr>
        <w:pStyle w:val="5"/>
        <w:pageBreakBefore w:val="0"/>
        <w:kinsoku/>
        <w:wordWrap/>
        <w:overflowPunct/>
        <w:topLinePunct w:val="0"/>
        <w:autoSpaceDE/>
        <w:autoSpaceDN/>
        <w:bidi w:val="0"/>
        <w:adjustRightInd/>
        <w:snapToGrid/>
        <w:spacing w:after="0" w:line="400" w:lineRule="exact"/>
        <w:ind w:firstLine="560"/>
        <w:textAlignment w:val="auto"/>
        <w:rPr>
          <w:rFonts w:hint="eastAsia" w:ascii="仿宋" w:hAnsi="仿宋" w:eastAsia="仿宋" w:cs="仿宋"/>
          <w:sz w:val="24"/>
          <w:szCs w:val="24"/>
          <w:highlight w:val="none"/>
        </w:rPr>
      </w:pPr>
      <w:bookmarkStart w:id="4" w:name="_Toc35393799"/>
      <w:bookmarkStart w:id="5" w:name="_Toc28359090"/>
      <w:bookmarkStart w:id="6" w:name="_Toc35393630"/>
      <w:bookmarkStart w:id="7" w:name="_Toc28359013"/>
      <w:r>
        <w:rPr>
          <w:rFonts w:hint="eastAsia" w:ascii="仿宋" w:hAnsi="仿宋" w:eastAsia="仿宋" w:cs="仿宋"/>
          <w:sz w:val="24"/>
          <w:szCs w:val="24"/>
          <w:highlight w:val="none"/>
        </w:rPr>
        <w:t>二、投标人的资格要求</w:t>
      </w:r>
      <w:bookmarkEnd w:id="4"/>
      <w:bookmarkEnd w:id="5"/>
      <w:bookmarkEnd w:id="6"/>
      <w:bookmarkEnd w:id="7"/>
    </w:p>
    <w:p w14:paraId="46A5A5AB">
      <w:pPr>
        <w:pageBreakBefore w:val="0"/>
        <w:kinsoku/>
        <w:wordWrap/>
        <w:overflowPunct/>
        <w:topLinePunct w:val="0"/>
        <w:autoSpaceDE/>
        <w:autoSpaceDN/>
        <w:bidi w:val="0"/>
        <w:adjustRightInd/>
        <w:snapToGrid/>
        <w:spacing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1.《中华人民共和国政府采购法》第二十二条规定的条件：</w:t>
      </w:r>
    </w:p>
    <w:p w14:paraId="27F188E0">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（1）具有独立承担民事责任的能力;</w:t>
      </w:r>
    </w:p>
    <w:p w14:paraId="4ED27717">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w:t>
      </w:r>
    </w:p>
    <w:p w14:paraId="58663C5D">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w:t>
      </w:r>
    </w:p>
    <w:p w14:paraId="54DC9A2D">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w:t>
      </w:r>
    </w:p>
    <w:p w14:paraId="1B6C4C0E">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w:t>
      </w:r>
    </w:p>
    <w:p w14:paraId="7C8F0EA3">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0"/>
        <w:textAlignment w:val="auto"/>
        <w:rPr>
          <w:rFonts w:hint="eastAsia" w:ascii="仿宋" w:hAnsi="仿宋" w:eastAsia="仿宋" w:cs="仿宋"/>
          <w:sz w:val="24"/>
          <w:szCs w:val="24"/>
        </w:rPr>
      </w:pPr>
      <w:r>
        <w:rPr>
          <w:rFonts w:hint="eastAsia" w:ascii="仿宋" w:hAnsi="仿宋" w:eastAsia="仿宋" w:cs="仿宋"/>
          <w:sz w:val="24"/>
          <w:szCs w:val="24"/>
        </w:rPr>
        <w:t>（6）法律、行政法规规定的其他条件。</w:t>
      </w:r>
    </w:p>
    <w:p w14:paraId="14F6B3BF">
      <w:pPr>
        <w:pStyle w:val="3"/>
        <w:keepNext w:val="0"/>
        <w:keepLines w:val="0"/>
        <w:pageBreakBefore w:val="0"/>
        <w:widowControl/>
        <w:kinsoku/>
        <w:wordWrap/>
        <w:overflowPunct/>
        <w:topLinePunct w:val="0"/>
        <w:autoSpaceDE/>
        <w:autoSpaceDN/>
        <w:bidi w:val="0"/>
        <w:adjustRightInd/>
        <w:snapToGrid/>
        <w:spacing w:before="0" w:after="0" w:line="400" w:lineRule="exact"/>
        <w:ind w:firstLine="56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本项目的特定资格要求：</w:t>
      </w:r>
    </w:p>
    <w:p w14:paraId="5F6E8B79">
      <w:pPr>
        <w:pStyle w:val="3"/>
        <w:keepNext w:val="0"/>
        <w:keepLines w:val="0"/>
        <w:pageBreakBefore w:val="0"/>
        <w:widowControl/>
        <w:kinsoku/>
        <w:wordWrap/>
        <w:overflowPunct/>
        <w:topLinePunct w:val="0"/>
        <w:autoSpaceDE/>
        <w:autoSpaceDN/>
        <w:bidi w:val="0"/>
        <w:adjustRightInd/>
        <w:snapToGrid/>
        <w:spacing w:before="0" w:after="0" w:line="400" w:lineRule="exact"/>
        <w:ind w:firstLine="560"/>
        <w:textAlignment w:val="auto"/>
        <w:rPr>
          <w:rStyle w:val="10"/>
          <w:rFonts w:hint="eastAsia" w:ascii="仿宋" w:hAnsi="仿宋" w:eastAsia="仿宋" w:cs="仿宋"/>
          <w:b/>
          <w:bCs/>
          <w:sz w:val="24"/>
          <w:szCs w:val="24"/>
          <w:highlight w:val="none"/>
        </w:rPr>
      </w:pPr>
      <w:r>
        <w:rPr>
          <w:rStyle w:val="10"/>
          <w:rFonts w:hint="eastAsia" w:ascii="仿宋" w:hAnsi="仿宋" w:eastAsia="仿宋" w:cs="仿宋"/>
          <w:b/>
          <w:bCs/>
          <w:sz w:val="24"/>
          <w:szCs w:val="24"/>
          <w:highlight w:val="none"/>
        </w:rPr>
        <w:t>（1）</w:t>
      </w:r>
      <w:r>
        <w:rPr>
          <w:rStyle w:val="10"/>
          <w:rFonts w:hint="eastAsia" w:ascii="仿宋" w:hAnsi="仿宋" w:eastAsia="仿宋" w:cs="仿宋"/>
          <w:b/>
          <w:bCs/>
          <w:sz w:val="24"/>
          <w:szCs w:val="24"/>
          <w:highlight w:val="none"/>
          <w:lang w:eastAsia="zh-CN"/>
        </w:rPr>
        <w:t>投标人</w:t>
      </w:r>
      <w:r>
        <w:rPr>
          <w:rStyle w:val="10"/>
          <w:rFonts w:hint="eastAsia" w:ascii="仿宋" w:hAnsi="仿宋" w:eastAsia="仿宋" w:cs="仿宋"/>
          <w:b/>
          <w:bCs/>
          <w:sz w:val="24"/>
          <w:szCs w:val="24"/>
          <w:highlight w:val="none"/>
        </w:rPr>
        <w:t>须具备</w:t>
      </w:r>
      <w:r>
        <w:rPr>
          <w:rStyle w:val="10"/>
          <w:rFonts w:hint="eastAsia" w:ascii="仿宋" w:hAnsi="仿宋" w:eastAsia="仿宋" w:cs="仿宋"/>
          <w:b/>
          <w:bCs/>
          <w:sz w:val="24"/>
          <w:szCs w:val="24"/>
          <w:highlight w:val="none"/>
          <w:lang w:val="en-US" w:eastAsia="zh-CN"/>
        </w:rPr>
        <w:t>省级及以上</w:t>
      </w:r>
      <w:r>
        <w:rPr>
          <w:rStyle w:val="10"/>
          <w:rFonts w:hint="eastAsia" w:ascii="仿宋" w:hAnsi="仿宋" w:eastAsia="仿宋" w:cs="仿宋"/>
          <w:b/>
          <w:bCs/>
          <w:sz w:val="24"/>
          <w:szCs w:val="24"/>
          <w:highlight w:val="none"/>
        </w:rPr>
        <w:t>电力市场交易资格（提供电力市场售电公司入市协议）；</w:t>
      </w:r>
    </w:p>
    <w:p w14:paraId="32D837D7">
      <w:pPr>
        <w:keepNext w:val="0"/>
        <w:keepLines w:val="0"/>
        <w:pageBreakBefore w:val="0"/>
        <w:widowControl/>
        <w:kinsoku/>
        <w:wordWrap/>
        <w:overflowPunct/>
        <w:topLinePunct w:val="0"/>
        <w:autoSpaceDE/>
        <w:autoSpaceDN/>
        <w:bidi w:val="0"/>
        <w:adjustRightInd/>
        <w:snapToGrid/>
        <w:spacing w:before="0" w:after="0" w:line="400" w:lineRule="exact"/>
        <w:ind w:firstLine="560"/>
        <w:jc w:val="both"/>
        <w:textAlignment w:val="auto"/>
        <w:outlineLvl w:val="1"/>
        <w:rPr>
          <w:rStyle w:val="10"/>
          <w:rFonts w:hint="eastAsia" w:ascii="仿宋" w:hAnsi="仿宋" w:eastAsia="仿宋" w:cs="仿宋"/>
          <w:b/>
          <w:bCs/>
          <w:sz w:val="24"/>
          <w:szCs w:val="24"/>
          <w:highlight w:val="none"/>
          <w:lang w:val="en-US" w:eastAsia="zh-CN" w:bidi="ar-SA"/>
        </w:rPr>
      </w:pPr>
      <w:r>
        <w:rPr>
          <w:rStyle w:val="10"/>
          <w:rFonts w:hint="eastAsia" w:ascii="仿宋" w:hAnsi="仿宋" w:eastAsia="仿宋" w:cs="仿宋"/>
          <w:b/>
          <w:bCs/>
          <w:sz w:val="24"/>
          <w:szCs w:val="24"/>
          <w:highlight w:val="none"/>
          <w:lang w:val="en-US" w:eastAsia="zh-CN" w:bidi="ar-SA"/>
        </w:rPr>
        <w:t>（2）提供省级及以上电力交易中心公布的投标人注册生效准入的通知及包含投标人名称的附件名单，且投标人保证无注销记录（书面保证格式自拟）。</w:t>
      </w:r>
    </w:p>
    <w:p w14:paraId="3D41515F">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7"/>
        <w:textAlignment w:val="auto"/>
        <w:rPr>
          <w:rFonts w:hint="eastAsia" w:ascii="仿宋" w:hAnsi="仿宋" w:eastAsia="仿宋" w:cs="仿宋"/>
          <w:iCs/>
          <w:sz w:val="24"/>
          <w:szCs w:val="24"/>
        </w:rPr>
      </w:pPr>
      <w:r>
        <w:rPr>
          <w:rFonts w:hint="eastAsia" w:ascii="仿宋" w:hAnsi="仿宋" w:eastAsia="仿宋" w:cs="仿宋"/>
          <w:iCs/>
          <w:sz w:val="24"/>
          <w:szCs w:val="24"/>
          <w:lang w:val="en-US" w:eastAsia="zh-CN"/>
        </w:rPr>
        <w:t>3</w:t>
      </w:r>
      <w:r>
        <w:rPr>
          <w:rFonts w:hint="eastAsia" w:ascii="仿宋" w:hAnsi="仿宋" w:eastAsia="仿宋" w:cs="仿宋"/>
          <w:iCs/>
          <w:sz w:val="24"/>
          <w:szCs w:val="24"/>
        </w:rPr>
        <w:t>.</w:t>
      </w:r>
      <w:r>
        <w:rPr>
          <w:rFonts w:hint="eastAsia" w:ascii="仿宋" w:hAnsi="仿宋" w:eastAsia="仿宋" w:cs="仿宋"/>
          <w:sz w:val="24"/>
          <w:szCs w:val="24"/>
        </w:rPr>
        <w:t xml:space="preserve"> </w:t>
      </w:r>
      <w:r>
        <w:rPr>
          <w:rFonts w:hint="eastAsia" w:ascii="仿宋" w:hAnsi="仿宋" w:eastAsia="仿宋" w:cs="仿宋"/>
          <w:sz w:val="24"/>
          <w:szCs w:val="24"/>
          <w:lang w:eastAsia="zh-CN"/>
        </w:rPr>
        <w:t>投标人</w:t>
      </w:r>
      <w:r>
        <w:rPr>
          <w:rFonts w:hint="eastAsia" w:ascii="仿宋" w:hAnsi="仿宋" w:eastAsia="仿宋" w:cs="仿宋"/>
          <w:sz w:val="24"/>
          <w:szCs w:val="24"/>
        </w:rPr>
        <w:t>的法定代表人参加招标活动的，须在投标文件中提供法定代表人身份证明和身份证复印件；委托代理人参加招标活动的，还须在投标文件中提供法定代表人的</w:t>
      </w:r>
      <w:r>
        <w:rPr>
          <w:rFonts w:hint="eastAsia" w:ascii="仿宋" w:hAnsi="仿宋" w:eastAsia="仿宋" w:cs="仿宋"/>
          <w:iCs/>
          <w:sz w:val="24"/>
          <w:szCs w:val="24"/>
        </w:rPr>
        <w:t>授权委托书。代理人须为</w:t>
      </w:r>
      <w:r>
        <w:rPr>
          <w:rFonts w:hint="eastAsia" w:ascii="仿宋" w:hAnsi="仿宋" w:eastAsia="仿宋" w:cs="仿宋"/>
          <w:iCs/>
          <w:sz w:val="24"/>
          <w:szCs w:val="24"/>
          <w:lang w:eastAsia="zh-CN"/>
        </w:rPr>
        <w:t>投标人</w:t>
      </w:r>
      <w:r>
        <w:rPr>
          <w:rFonts w:hint="eastAsia" w:ascii="仿宋" w:hAnsi="仿宋" w:eastAsia="仿宋" w:cs="仿宋"/>
          <w:iCs/>
          <w:sz w:val="24"/>
          <w:szCs w:val="24"/>
        </w:rPr>
        <w:t>的正式员工，并提供开标日前最近1个月</w:t>
      </w:r>
      <w:r>
        <w:rPr>
          <w:rFonts w:hint="eastAsia" w:ascii="仿宋" w:hAnsi="仿宋" w:eastAsia="仿宋" w:cs="仿宋"/>
          <w:iCs/>
          <w:sz w:val="24"/>
          <w:szCs w:val="24"/>
          <w:lang w:eastAsia="zh-CN"/>
        </w:rPr>
        <w:t>投标人</w:t>
      </w:r>
      <w:r>
        <w:rPr>
          <w:rFonts w:hint="eastAsia" w:ascii="仿宋" w:hAnsi="仿宋" w:eastAsia="仿宋" w:cs="仿宋"/>
          <w:iCs/>
          <w:sz w:val="24"/>
          <w:szCs w:val="24"/>
        </w:rPr>
        <w:t>为其缴纳社保的证明；新成立企业距开标日期不足30日的，可不提供缴纳社保的证明（以新办企业营业执照发放日期为准）。</w:t>
      </w:r>
    </w:p>
    <w:p w14:paraId="1D9447D6">
      <w:pPr>
        <w:pStyle w:val="6"/>
        <w:pageBreakBefore w:val="0"/>
        <w:shd w:val="clear" w:color="auto" w:fill="FFFFFF"/>
        <w:kinsoku/>
        <w:wordWrap/>
        <w:overflowPunct/>
        <w:topLinePunct w:val="0"/>
        <w:autoSpaceDE/>
        <w:autoSpaceDN/>
        <w:bidi w:val="0"/>
        <w:adjustRightInd/>
        <w:snapToGrid/>
        <w:spacing w:before="0" w:beforeAutospacing="0" w:after="0" w:afterAutospacing="0" w:line="400" w:lineRule="exact"/>
        <w:ind w:firstLine="567"/>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第二章</w:t>
      </w:r>
      <w:r>
        <w:rPr>
          <w:rFonts w:hint="eastAsia" w:ascii="仿宋" w:hAnsi="仿宋" w:eastAsia="仿宋" w:cs="仿宋"/>
          <w:b/>
          <w:bCs/>
          <w:sz w:val="32"/>
          <w:szCs w:val="32"/>
        </w:rPr>
        <w:t xml:space="preserve"> 采购需求</w:t>
      </w:r>
    </w:p>
    <w:p w14:paraId="36F0633C">
      <w:pPr>
        <w:pStyle w:val="2"/>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一、项目简介</w:t>
      </w:r>
    </w:p>
    <w:p w14:paraId="4319B462">
      <w:pPr>
        <w:keepNext w:val="0"/>
        <w:keepLines w:val="0"/>
        <w:pageBreakBefore w:val="0"/>
        <w:widowControl w:val="0"/>
        <w:numPr>
          <w:ilvl w:val="0"/>
          <w:numId w:val="0"/>
        </w:numPr>
        <w:kinsoku/>
        <w:wordWrap/>
        <w:overflowPunct/>
        <w:topLinePunct w:val="0"/>
        <w:autoSpaceDE/>
        <w:autoSpaceDN/>
        <w:bidi w:val="0"/>
        <w:adjustRightInd/>
        <w:snapToGrid/>
        <w:spacing w:before="120" w:after="120" w:line="400" w:lineRule="exact"/>
        <w:ind w:firstLine="560"/>
        <w:jc w:val="left"/>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苏州市吴江区中医医院（苏州市吴江区第二人民医院）年度预估使用电量</w:t>
      </w:r>
      <w:r>
        <w:rPr>
          <w:rFonts w:hint="eastAsia" w:ascii="仿宋" w:hAnsi="仿宋" w:eastAsia="仿宋" w:cs="仿宋"/>
          <w:i w:val="0"/>
          <w:iCs w:val="0"/>
          <w:color w:val="000000"/>
          <w:sz w:val="24"/>
          <w:szCs w:val="24"/>
          <w:highlight w:val="none"/>
          <w:u w:val="none"/>
          <w:shd w:val="clear" w:color="auto" w:fill="auto"/>
          <w:lang w:val="en-US" w:eastAsia="zh-CN" w:bidi="ar"/>
        </w:rPr>
        <w:t>10000000</w:t>
      </w:r>
      <w:r>
        <w:rPr>
          <w:rFonts w:hint="eastAsia" w:ascii="仿宋" w:hAnsi="仿宋" w:eastAsia="仿宋" w:cs="仿宋"/>
          <w:b w:val="0"/>
          <w:i w:val="0"/>
          <w:caps w:val="0"/>
          <w:color w:val="333333"/>
          <w:spacing w:val="0"/>
          <w:sz w:val="24"/>
          <w:szCs w:val="24"/>
          <w:highlight w:val="none"/>
          <w:shd w:val="clear" w:color="auto" w:fill="auto"/>
          <w:lang w:val="en-US" w:eastAsia="zh-CN" w:bidi="ar-SA"/>
        </w:rPr>
        <w:t>kwh</w:t>
      </w:r>
      <w:r>
        <w:rPr>
          <w:rFonts w:hint="eastAsia" w:ascii="仿宋" w:hAnsi="仿宋" w:eastAsia="仿宋" w:cs="仿宋"/>
          <w:sz w:val="24"/>
          <w:szCs w:val="24"/>
          <w:highlight w:val="none"/>
          <w:lang w:val="en-US" w:eastAsia="zh-CN" w:bidi="ar-SA"/>
        </w:rPr>
        <w:t>，需与第三方签订购售电合同，确保在用电中得到最大优惠。</w:t>
      </w:r>
    </w:p>
    <w:p w14:paraId="05461A28">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b/>
          <w:bCs/>
          <w:sz w:val="24"/>
          <w:szCs w:val="24"/>
        </w:rPr>
      </w:pPr>
      <w:r>
        <w:rPr>
          <w:rFonts w:hint="eastAsia" w:ascii="仿宋" w:hAnsi="仿宋" w:eastAsia="仿宋" w:cs="仿宋"/>
          <w:b/>
          <w:bCs/>
          <w:sz w:val="24"/>
          <w:szCs w:val="24"/>
        </w:rPr>
        <w:t>二、采购内容</w:t>
      </w:r>
    </w:p>
    <w:p w14:paraId="2D769BC6">
      <w:pPr>
        <w:keepNext w:val="0"/>
        <w:keepLines w:val="0"/>
        <w:pageBreakBefore w:val="0"/>
        <w:widowControl/>
        <w:numPr>
          <w:ilvl w:val="0"/>
          <w:numId w:val="0"/>
        </w:numPr>
        <w:kinsoku/>
        <w:wordWrap/>
        <w:overflowPunct/>
        <w:topLinePunct w:val="0"/>
        <w:autoSpaceDE/>
        <w:autoSpaceDN/>
        <w:bidi w:val="0"/>
        <w:adjustRightInd/>
        <w:snapToGrid/>
        <w:spacing w:after="0" w:line="400" w:lineRule="exact"/>
        <w:ind w:firstLine="560"/>
        <w:jc w:val="both"/>
        <w:textAlignment w:val="auto"/>
        <w:outlineLvl w:val="9"/>
        <w:rPr>
          <w:rFonts w:hint="eastAsia" w:ascii="仿宋" w:hAnsi="仿宋" w:eastAsia="仿宋" w:cs="仿宋"/>
          <w:b w:val="0"/>
          <w:i w:val="0"/>
          <w:caps w:val="0"/>
          <w:color w:val="333333"/>
          <w:spacing w:val="0"/>
          <w:sz w:val="24"/>
          <w:szCs w:val="24"/>
          <w:highlight w:val="none"/>
          <w:shd w:val="clear" w:color="auto" w:fill="FFFFFF"/>
          <w:lang w:val="en-US" w:eastAsia="zh-CN" w:bidi="ar-SA"/>
        </w:rPr>
      </w:pPr>
      <w:r>
        <w:rPr>
          <w:rFonts w:hint="eastAsia" w:ascii="仿宋" w:hAnsi="仿宋" w:eastAsia="仿宋" w:cs="仿宋"/>
          <w:sz w:val="24"/>
          <w:szCs w:val="24"/>
          <w:lang w:val="en-US" w:eastAsia="zh-CN" w:bidi="ar-SA"/>
        </w:rPr>
        <w:t>(一）</w:t>
      </w:r>
      <w:r>
        <w:rPr>
          <w:rFonts w:hint="eastAsia" w:ascii="仿宋" w:hAnsi="仿宋" w:eastAsia="仿宋" w:cs="仿宋"/>
          <w:sz w:val="24"/>
          <w:szCs w:val="24"/>
          <w:highlight w:val="none"/>
          <w:lang w:val="en-US" w:eastAsia="zh-CN" w:bidi="ar-SA"/>
        </w:rPr>
        <w:t>苏州市吴江区中医医院（苏州市吴江区第二人民医院）年度预估使用电量</w:t>
      </w:r>
      <w:r>
        <w:rPr>
          <w:rFonts w:hint="eastAsia" w:ascii="仿宋" w:hAnsi="仿宋" w:eastAsia="仿宋" w:cs="仿宋"/>
          <w:i w:val="0"/>
          <w:iCs w:val="0"/>
          <w:color w:val="000000"/>
          <w:sz w:val="24"/>
          <w:szCs w:val="24"/>
          <w:highlight w:val="none"/>
          <w:u w:val="none"/>
          <w:shd w:val="clear" w:color="auto" w:fill="auto"/>
          <w:lang w:val="en-US" w:eastAsia="zh-CN" w:bidi="ar"/>
        </w:rPr>
        <w:t>10000000</w:t>
      </w:r>
      <w:r>
        <w:rPr>
          <w:rFonts w:hint="eastAsia" w:ascii="仿宋" w:hAnsi="仿宋" w:eastAsia="仿宋" w:cs="仿宋"/>
          <w:b w:val="0"/>
          <w:i w:val="0"/>
          <w:caps w:val="0"/>
          <w:color w:val="333333"/>
          <w:spacing w:val="0"/>
          <w:sz w:val="24"/>
          <w:szCs w:val="24"/>
          <w:highlight w:val="none"/>
          <w:shd w:val="clear" w:color="auto" w:fill="auto"/>
          <w:lang w:val="en-US" w:eastAsia="zh-CN" w:bidi="ar-SA"/>
        </w:rPr>
        <w:t>kwh</w:t>
      </w:r>
      <w:r>
        <w:rPr>
          <w:rFonts w:hint="eastAsia" w:ascii="仿宋" w:hAnsi="仿宋" w:eastAsia="仿宋" w:cs="仿宋"/>
          <w:b w:val="0"/>
          <w:i w:val="0"/>
          <w:caps w:val="0"/>
          <w:color w:val="333333"/>
          <w:spacing w:val="0"/>
          <w:sz w:val="24"/>
          <w:szCs w:val="24"/>
          <w:highlight w:val="none"/>
          <w:shd w:val="clear" w:color="auto" w:fill="FFFFFF"/>
          <w:lang w:val="en-US" w:eastAsia="zh-CN" w:bidi="ar-SA"/>
        </w:rPr>
        <w:t>，最终以实际使用量为准。</w:t>
      </w:r>
    </w:p>
    <w:p w14:paraId="30D21B05">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i w:val="0"/>
          <w:caps w:val="0"/>
          <w:color w:val="333333"/>
          <w:spacing w:val="0"/>
          <w:sz w:val="24"/>
          <w:szCs w:val="24"/>
          <w:highlight w:val="none"/>
          <w:shd w:val="clear" w:color="auto" w:fill="FFFFFF"/>
          <w:lang w:val="en-US" w:eastAsia="zh-CN"/>
        </w:rPr>
      </w:pPr>
      <w:r>
        <w:rPr>
          <w:rFonts w:hint="eastAsia" w:ascii="仿宋" w:hAnsi="仿宋" w:eastAsia="仿宋" w:cs="仿宋"/>
          <w:b w:val="0"/>
          <w:i w:val="0"/>
          <w:caps w:val="0"/>
          <w:color w:val="333333"/>
          <w:spacing w:val="0"/>
          <w:sz w:val="24"/>
          <w:szCs w:val="24"/>
          <w:highlight w:val="none"/>
          <w:shd w:val="clear" w:color="auto" w:fill="FFFFFF"/>
          <w:lang w:val="en-US" w:eastAsia="zh-CN"/>
        </w:rPr>
        <w:t xml:space="preserve">    （二）</w:t>
      </w:r>
      <w:r>
        <w:rPr>
          <w:rFonts w:hint="eastAsia" w:ascii="仿宋" w:hAnsi="仿宋" w:eastAsia="仿宋" w:cs="仿宋"/>
          <w:sz w:val="24"/>
          <w:szCs w:val="24"/>
          <w:highlight w:val="none"/>
          <w:lang w:val="en-US" w:eastAsia="zh-CN" w:bidi="ar-SA"/>
        </w:rPr>
        <w:t>苏州市吴江区中医医院（苏州市吴江区第二人民医院）</w:t>
      </w:r>
      <w:r>
        <w:rPr>
          <w:rFonts w:hint="eastAsia" w:ascii="仿宋" w:hAnsi="仿宋" w:eastAsia="仿宋" w:cs="仿宋"/>
          <w:b w:val="0"/>
          <w:bCs w:val="0"/>
          <w:sz w:val="24"/>
          <w:szCs w:val="24"/>
          <w:lang w:eastAsia="zh-CN"/>
        </w:rPr>
        <w:t>交易电量的电价约定方案为固定让利价格方式。参照国网代理购电价，在国网代理购电价</w:t>
      </w:r>
      <w:r>
        <w:rPr>
          <w:rFonts w:hint="eastAsia" w:ascii="仿宋" w:hAnsi="仿宋" w:eastAsia="仿宋" w:cs="仿宋"/>
          <w:b w:val="0"/>
          <w:bCs w:val="0"/>
          <w:i w:val="0"/>
          <w:caps w:val="0"/>
          <w:color w:val="333333"/>
          <w:spacing w:val="0"/>
          <w:sz w:val="24"/>
          <w:szCs w:val="24"/>
          <w:highlight w:val="none"/>
          <w:shd w:val="clear" w:color="auto" w:fill="FFFFFF"/>
          <w:lang w:val="en-US" w:eastAsia="zh-CN"/>
        </w:rPr>
        <w:t>基础上让利金额高者中标，且让价收益100%归</w:t>
      </w:r>
      <w:r>
        <w:rPr>
          <w:rFonts w:hint="eastAsia" w:ascii="仿宋" w:hAnsi="仿宋" w:eastAsia="仿宋" w:cs="仿宋"/>
          <w:sz w:val="24"/>
          <w:szCs w:val="24"/>
          <w:highlight w:val="none"/>
          <w:lang w:val="en-US" w:eastAsia="zh-CN" w:bidi="ar-SA"/>
        </w:rPr>
        <w:t>苏州市吴江区中医医院（苏州市吴江区第二人民医院）</w:t>
      </w:r>
      <w:r>
        <w:rPr>
          <w:rFonts w:hint="eastAsia" w:ascii="仿宋" w:hAnsi="仿宋" w:eastAsia="仿宋" w:cs="仿宋"/>
          <w:b w:val="0"/>
          <w:bCs w:val="0"/>
          <w:i w:val="0"/>
          <w:caps w:val="0"/>
          <w:color w:val="333333"/>
          <w:spacing w:val="0"/>
          <w:sz w:val="24"/>
          <w:szCs w:val="24"/>
          <w:highlight w:val="none"/>
          <w:shd w:val="clear" w:color="auto" w:fill="FFFFFF"/>
          <w:lang w:val="en-US" w:eastAsia="zh-CN"/>
        </w:rPr>
        <w:t>所有，</w:t>
      </w:r>
      <w:r>
        <w:rPr>
          <w:rFonts w:hint="eastAsia" w:ascii="仿宋" w:hAnsi="仿宋" w:eastAsia="仿宋" w:cs="仿宋"/>
          <w:sz w:val="24"/>
          <w:szCs w:val="24"/>
          <w:highlight w:val="none"/>
          <w:lang w:val="en-US" w:eastAsia="zh-CN" w:bidi="ar-SA"/>
        </w:rPr>
        <w:t>苏州市吴江区中医医院（苏州市吴江区第二人民医院）</w:t>
      </w:r>
      <w:r>
        <w:rPr>
          <w:rFonts w:hint="eastAsia" w:ascii="仿宋" w:hAnsi="仿宋" w:eastAsia="仿宋" w:cs="仿宋"/>
          <w:b w:val="0"/>
          <w:bCs w:val="0"/>
          <w:i w:val="0"/>
          <w:caps w:val="0"/>
          <w:color w:val="333333"/>
          <w:spacing w:val="0"/>
          <w:sz w:val="24"/>
          <w:szCs w:val="24"/>
          <w:highlight w:val="none"/>
          <w:shd w:val="clear" w:color="auto" w:fill="FFFFFF"/>
          <w:lang w:val="en-US" w:eastAsia="zh-CN"/>
        </w:rPr>
        <w:t>收益直接在向电网经营企业缴交用电费用中扣减。</w:t>
      </w:r>
    </w:p>
    <w:p w14:paraId="174B3A1E">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三、服务要求</w:t>
      </w:r>
    </w:p>
    <w:p w14:paraId="4834CE29">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（一）为招标人提供交易周期内优惠电价，生产经营所需全部用电的购售电代理交易。中标人应按国家有关法规、规定和技术规范，提供全周期电力交易服务和用电增值服务。 </w:t>
      </w:r>
    </w:p>
    <w:p w14:paraId="4E6505F9">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（二）服务内容： </w:t>
      </w:r>
    </w:p>
    <w:p w14:paraId="641A8CEB">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1.按照国家有关法规、规定和技术规范，为采购人提供电力交易服务，参与电力市场交易并按规定结算。 </w:t>
      </w:r>
    </w:p>
    <w:p w14:paraId="0EF0EA87">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2.向招标人提供真实准确的有关电力直接交易的相关信息及资料，不得提供虚假的或误导性的信息。 </w:t>
      </w:r>
    </w:p>
    <w:p w14:paraId="348494E8">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3.根据国家有关法规支付电力交易相关费用。 </w:t>
      </w:r>
    </w:p>
    <w:p w14:paraId="6317C540">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4.协助招标人申请办理电力交易有关手续。 </w:t>
      </w:r>
    </w:p>
    <w:p w14:paraId="3C4EE655">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5.发生紧急情况时，按照相关规定执行。 </w:t>
      </w:r>
    </w:p>
    <w:p w14:paraId="472B6B6F">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6.向采购人和电网经营企业提供与履行相关的其它信息。 </w:t>
      </w:r>
    </w:p>
    <w:p w14:paraId="0729ECC5">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（三）交易模式： </w:t>
      </w:r>
    </w:p>
    <w:p w14:paraId="2DDAEB5E">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1.投标人在成交后，与招标人签订购售电合同，明确全年统一售电优惠差价，并与现行目录销售电价联动。该优惠差价与现行的目录销售电价联动，并在年度执行过程中不予调整。 </w:t>
      </w:r>
    </w:p>
    <w:p w14:paraId="52C64D85">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2.中标人代招标人参与全年的双边协商和集中竞价等电力市场交易，招标人将提供必要的配合。 </w:t>
      </w:r>
    </w:p>
    <w:p w14:paraId="3859A5CB">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3.投标人必须承担电量偏差引起的一切费用风险。 </w:t>
      </w:r>
    </w:p>
    <w:p w14:paraId="7A0AAD6B">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4.以江苏省物价局发行的同期目录电价为基准。</w:t>
      </w:r>
    </w:p>
    <w:p w14:paraId="3DF2745C">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投标人所报优惠限价价差包含电厂侧让利和输配电价、政府性基金及附加降价的金额。若输配电价、政府性基金及附加发生改变，以政府最新定价文件为依据，全合同电量交易电价的价差在电厂侧让利保持不变的前提下同步调整。</w:t>
      </w:r>
    </w:p>
    <w:p w14:paraId="3323745B">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（四）电能计量： </w:t>
      </w:r>
    </w:p>
    <w:p w14:paraId="757C5585">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1.电力交易涉及的电量计量点、电能计量装置要求、电能计量装置校验要求和计量装置异常处理办法等，需在合同约定中执行。 </w:t>
      </w:r>
    </w:p>
    <w:p w14:paraId="5CF4C2C0">
      <w:pPr>
        <w:pageBreakBefore w:val="0"/>
        <w:kinsoku/>
        <w:wordWrap/>
        <w:overflowPunct/>
        <w:topLinePunct w:val="0"/>
        <w:autoSpaceDE/>
        <w:autoSpaceDN/>
        <w:bidi w:val="0"/>
        <w:adjustRightInd/>
        <w:snapToGrid/>
        <w:spacing w:line="400" w:lineRule="exact"/>
        <w:ind w:firstLine="56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2.电力交易结算电量以招标人计量点关口表计量的电量为结算依据。</w:t>
      </w:r>
    </w:p>
    <w:p w14:paraId="0507803A">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（五）其他要求： </w:t>
      </w:r>
    </w:p>
    <w:p w14:paraId="6032D15A">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1.投标人需明确后续可提供的用电增值服务内容，并无偿为招标人提供相应服务。 </w:t>
      </w:r>
    </w:p>
    <w:p w14:paraId="64914C31">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 xml:space="preserve">2.在购售电交易执行中，不会对招标人用电产生任何影响。 </w:t>
      </w:r>
    </w:p>
    <w:p w14:paraId="6F230FA8">
      <w:pPr>
        <w:pageBreakBefore w:val="0"/>
        <w:kinsoku/>
        <w:wordWrap/>
        <w:overflowPunct/>
        <w:topLinePunct w:val="0"/>
        <w:autoSpaceDE/>
        <w:autoSpaceDN/>
        <w:bidi w:val="0"/>
        <w:adjustRightInd/>
        <w:snapToGrid/>
        <w:spacing w:line="400" w:lineRule="exact"/>
        <w:ind w:firstLine="56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3.招标人不承担电量偏差考核，招标人电量偏差由中标人全额承担。</w:t>
      </w:r>
    </w:p>
    <w:p w14:paraId="5D225694">
      <w:pPr>
        <w:pageBreakBefore w:val="0"/>
        <w:kinsoku/>
        <w:wordWrap/>
        <w:overflowPunct/>
        <w:topLinePunct w:val="0"/>
        <w:autoSpaceDE/>
        <w:autoSpaceDN/>
        <w:bidi w:val="0"/>
        <w:adjustRightInd/>
        <w:snapToGrid/>
        <w:spacing w:line="400" w:lineRule="exact"/>
        <w:ind w:firstLine="56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4.如遇政府有新政策发布，其内容与此次招标内容存在冲突，招标人可终止合同。</w:t>
      </w:r>
    </w:p>
    <w:p w14:paraId="7FE155A0">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四</w:t>
      </w:r>
      <w:r>
        <w:rPr>
          <w:rFonts w:hint="eastAsia" w:ascii="仿宋" w:hAnsi="仿宋" w:eastAsia="仿宋" w:cs="仿宋"/>
          <w:b/>
          <w:bCs/>
          <w:sz w:val="24"/>
          <w:szCs w:val="24"/>
          <w:highlight w:val="none"/>
        </w:rPr>
        <w:t>、服务期限和地点</w:t>
      </w:r>
    </w:p>
    <w:p w14:paraId="2409E949">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地点：</w:t>
      </w:r>
      <w:r>
        <w:rPr>
          <w:rFonts w:hint="eastAsia" w:ascii="仿宋" w:hAnsi="仿宋" w:eastAsia="仿宋" w:cs="仿宋"/>
          <w:sz w:val="24"/>
          <w:szCs w:val="24"/>
          <w:highlight w:val="none"/>
          <w:lang w:val="en-US" w:eastAsia="zh-CN"/>
        </w:rPr>
        <w:t>招标人指定地点</w:t>
      </w:r>
      <w:r>
        <w:rPr>
          <w:rFonts w:hint="eastAsia" w:ascii="仿宋" w:hAnsi="仿宋" w:eastAsia="仿宋" w:cs="仿宋"/>
          <w:sz w:val="24"/>
          <w:szCs w:val="24"/>
          <w:highlight w:val="none"/>
          <w:lang w:eastAsia="zh-CN"/>
        </w:rPr>
        <w:t>。</w:t>
      </w:r>
    </w:p>
    <w:p w14:paraId="051F7E60">
      <w:pPr>
        <w:keepNext w:val="0"/>
        <w:keepLines w:val="0"/>
        <w:pageBreakBefore w:val="0"/>
        <w:kinsoku/>
        <w:wordWrap/>
        <w:overflowPunct/>
        <w:topLinePunct w:val="0"/>
        <w:autoSpaceDE/>
        <w:autoSpaceDN/>
        <w:bidi w:val="0"/>
        <w:adjustRightInd/>
        <w:snapToGrid/>
        <w:spacing w:line="400" w:lineRule="exact"/>
        <w:ind w:firstLine="56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方式：</w:t>
      </w:r>
      <w:r>
        <w:rPr>
          <w:rFonts w:hint="eastAsia" w:ascii="仿宋" w:hAnsi="仿宋" w:eastAsia="仿宋" w:cs="仿宋"/>
          <w:sz w:val="24"/>
          <w:szCs w:val="24"/>
          <w:highlight w:val="none"/>
          <w:lang w:val="en-US" w:eastAsia="zh-CN"/>
        </w:rPr>
        <w:t>供电</w:t>
      </w:r>
      <w:r>
        <w:rPr>
          <w:rFonts w:hint="eastAsia" w:ascii="仿宋" w:hAnsi="仿宋" w:eastAsia="仿宋" w:cs="仿宋"/>
          <w:sz w:val="24"/>
          <w:szCs w:val="24"/>
          <w:highlight w:val="none"/>
        </w:rPr>
        <w:t>。</w:t>
      </w:r>
    </w:p>
    <w:p w14:paraId="3FD4359D">
      <w:pPr>
        <w:pageBreakBefore w:val="0"/>
        <w:kinsoku/>
        <w:wordWrap/>
        <w:overflowPunct/>
        <w:topLinePunct w:val="0"/>
        <w:autoSpaceDE/>
        <w:autoSpaceDN/>
        <w:bidi w:val="0"/>
        <w:adjustRightInd/>
        <w:snapToGrid/>
        <w:spacing w:line="400" w:lineRule="exact"/>
        <w:ind w:left="0" w:leftChars="0" w:firstLine="547" w:firstLineChars="228"/>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）服务期限：</w:t>
      </w:r>
      <w:r>
        <w:rPr>
          <w:rFonts w:hint="eastAsia" w:ascii="仿宋" w:hAnsi="仿宋" w:eastAsia="仿宋" w:cs="仿宋"/>
          <w:b w:val="0"/>
          <w:bCs w:val="0"/>
          <w:i w:val="0"/>
          <w:caps w:val="0"/>
          <w:color w:val="333333"/>
          <w:spacing w:val="0"/>
          <w:sz w:val="24"/>
          <w:szCs w:val="24"/>
          <w:highlight w:val="none"/>
          <w:u w:val="none"/>
          <w:shd w:val="clear" w:color="auto" w:fill="FFFFFF"/>
          <w:lang w:val="en-US" w:eastAsia="zh-CN"/>
        </w:rPr>
        <w:t>按合同签订次月起计算，至少满足一年。合同履行良好可续签两年。</w:t>
      </w:r>
    </w:p>
    <w:p w14:paraId="1475014E">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五</w:t>
      </w:r>
      <w:r>
        <w:rPr>
          <w:rFonts w:hint="eastAsia" w:ascii="仿宋" w:hAnsi="仿宋" w:eastAsia="仿宋" w:cs="仿宋"/>
          <w:b/>
          <w:bCs/>
          <w:sz w:val="24"/>
          <w:szCs w:val="24"/>
          <w:highlight w:val="none"/>
        </w:rPr>
        <w:t>、考核方案</w:t>
      </w:r>
    </w:p>
    <w:p w14:paraId="05CD0405">
      <w:pPr>
        <w:keepNext w:val="0"/>
        <w:keepLines w:val="0"/>
        <w:pageBreakBefore w:val="0"/>
        <w:kinsoku/>
        <w:wordWrap/>
        <w:overflowPunct/>
        <w:topLinePunct w:val="0"/>
        <w:autoSpaceDE/>
        <w:autoSpaceDN/>
        <w:bidi w:val="0"/>
        <w:adjustRightInd/>
        <w:snapToGrid/>
        <w:spacing w:line="400" w:lineRule="exact"/>
        <w:ind w:firstLine="560"/>
        <w:jc w:val="left"/>
        <w:textAlignment w:val="auto"/>
        <w:outlineLvl w:val="9"/>
        <w:rPr>
          <w:rFonts w:hint="eastAsia" w:ascii="仿宋" w:hAnsi="仿宋" w:eastAsia="仿宋" w:cs="仿宋"/>
          <w:sz w:val="24"/>
          <w:szCs w:val="24"/>
          <w:highlight w:val="none"/>
        </w:rPr>
      </w:pPr>
      <w:bookmarkStart w:id="8" w:name="_Toc21183"/>
      <w:bookmarkStart w:id="9" w:name="_Toc32144"/>
      <w:r>
        <w:rPr>
          <w:rFonts w:hint="eastAsia" w:ascii="仿宋" w:hAnsi="仿宋" w:eastAsia="仿宋" w:cs="仿宋"/>
          <w:sz w:val="24"/>
          <w:szCs w:val="24"/>
          <w:highlight w:val="none"/>
          <w:lang w:eastAsia="zh-CN"/>
        </w:rPr>
        <w:t>招标人收到电费支付票据后，核对</w:t>
      </w:r>
      <w:r>
        <w:rPr>
          <w:rFonts w:hint="eastAsia" w:ascii="仿宋" w:hAnsi="仿宋" w:eastAsia="仿宋" w:cs="仿宋"/>
          <w:b w:val="0"/>
          <w:bCs w:val="0"/>
          <w:sz w:val="24"/>
          <w:szCs w:val="24"/>
          <w:highlight w:val="none"/>
          <w:lang w:eastAsia="zh-CN"/>
        </w:rPr>
        <w:t>国网代理购电价</w:t>
      </w:r>
      <w:r>
        <w:rPr>
          <w:rFonts w:hint="eastAsia" w:ascii="仿宋" w:hAnsi="仿宋" w:eastAsia="仿宋" w:cs="仿宋"/>
          <w:sz w:val="24"/>
          <w:szCs w:val="24"/>
          <w:highlight w:val="none"/>
          <w:lang w:eastAsia="zh-CN"/>
        </w:rPr>
        <w:t>单价</w:t>
      </w:r>
      <w:bookmarkEnd w:id="8"/>
      <w:bookmarkEnd w:id="9"/>
      <w:r>
        <w:rPr>
          <w:rFonts w:hint="eastAsia" w:ascii="仿宋" w:hAnsi="仿宋" w:eastAsia="仿宋" w:cs="仿宋"/>
          <w:sz w:val="24"/>
          <w:szCs w:val="24"/>
          <w:highlight w:val="none"/>
          <w:lang w:eastAsia="zh-CN"/>
        </w:rPr>
        <w:t>。符合采购要求即支付电费。</w:t>
      </w:r>
    </w:p>
    <w:p w14:paraId="47100887">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六</w:t>
      </w:r>
      <w:r>
        <w:rPr>
          <w:rFonts w:hint="eastAsia" w:ascii="仿宋" w:hAnsi="仿宋" w:eastAsia="仿宋" w:cs="仿宋"/>
          <w:b/>
          <w:bCs/>
          <w:sz w:val="24"/>
          <w:szCs w:val="24"/>
        </w:rPr>
        <w:t>、付款方式</w:t>
      </w:r>
    </w:p>
    <w:p w14:paraId="3186335D">
      <w:pPr>
        <w:keepNext w:val="0"/>
        <w:keepLines w:val="0"/>
        <w:pageBreakBefore w:val="0"/>
        <w:kinsoku/>
        <w:wordWrap/>
        <w:overflowPunct/>
        <w:topLinePunct w:val="0"/>
        <w:autoSpaceDE/>
        <w:autoSpaceDN/>
        <w:bidi w:val="0"/>
        <w:adjustRightInd/>
        <w:snapToGrid/>
        <w:spacing w:line="400" w:lineRule="exact"/>
        <w:ind w:firstLine="562"/>
        <w:jc w:val="left"/>
        <w:textAlignment w:val="auto"/>
        <w:outlineLvl w:val="1"/>
        <w:rPr>
          <w:rFonts w:hint="eastAsia" w:ascii="仿宋" w:hAnsi="仿宋" w:eastAsia="仿宋" w:cs="仿宋"/>
          <w:b/>
          <w:bCs/>
          <w:sz w:val="24"/>
          <w:szCs w:val="24"/>
          <w:u w:val="none"/>
          <w:lang w:val="en-US" w:eastAsia="zh-CN"/>
        </w:rPr>
      </w:pPr>
      <w:bookmarkStart w:id="10" w:name="_Toc24373"/>
      <w:bookmarkStart w:id="11" w:name="_Toc18960"/>
      <w:bookmarkStart w:id="12" w:name="_Toc29516"/>
      <w:bookmarkStart w:id="13" w:name="_Toc11590"/>
      <w:r>
        <w:rPr>
          <w:rFonts w:hint="eastAsia" w:ascii="仿宋" w:hAnsi="仿宋" w:eastAsia="仿宋" w:cs="仿宋"/>
          <w:b/>
          <w:bCs/>
          <w:sz w:val="24"/>
          <w:szCs w:val="24"/>
          <w:u w:val="none"/>
          <w:lang w:val="en-US" w:eastAsia="zh-CN"/>
        </w:rPr>
        <w:t>招标人购电优惠部分直接在向电网经营企业缴交用电费用中扣减，电费按月实际用电量结算</w:t>
      </w:r>
      <w:bookmarkEnd w:id="10"/>
      <w:bookmarkEnd w:id="11"/>
      <w:bookmarkEnd w:id="12"/>
      <w:bookmarkEnd w:id="13"/>
      <w:r>
        <w:rPr>
          <w:rFonts w:hint="eastAsia" w:ascii="仿宋" w:hAnsi="仿宋" w:eastAsia="仿宋" w:cs="仿宋"/>
          <w:b/>
          <w:bCs/>
          <w:sz w:val="24"/>
          <w:szCs w:val="24"/>
          <w:u w:val="none"/>
          <w:lang w:val="en-US" w:eastAsia="zh-CN"/>
        </w:rPr>
        <w:t>。</w:t>
      </w:r>
    </w:p>
    <w:p w14:paraId="7018952F">
      <w:pPr>
        <w:pageBreakBefore w:val="0"/>
        <w:kinsoku/>
        <w:wordWrap/>
        <w:overflowPunct/>
        <w:topLinePunct w:val="0"/>
        <w:autoSpaceDE/>
        <w:autoSpaceDN/>
        <w:bidi w:val="0"/>
        <w:adjustRightInd/>
        <w:snapToGrid/>
        <w:spacing w:line="400" w:lineRule="exact"/>
        <w:ind w:firstLine="562"/>
        <w:textAlignment w:val="auto"/>
        <w:rPr>
          <w:rFonts w:hint="eastAsia" w:ascii="仿宋" w:hAnsi="仿宋" w:eastAsia="仿宋" w:cs="仿宋"/>
          <w:sz w:val="24"/>
          <w:szCs w:val="24"/>
          <w:highlight w:val="none"/>
        </w:rPr>
      </w:pP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报价要求</w:t>
      </w:r>
    </w:p>
    <w:p w14:paraId="1E8F1E71">
      <w:pPr>
        <w:pageBreakBefore w:val="0"/>
        <w:kinsoku/>
        <w:wordWrap/>
        <w:overflowPunct/>
        <w:topLinePunct w:val="0"/>
        <w:autoSpaceDE/>
        <w:autoSpaceDN/>
        <w:bidi w:val="0"/>
        <w:adjustRightInd/>
        <w:snapToGrid/>
        <w:spacing w:line="400" w:lineRule="exact"/>
        <w:ind w:firstLine="560"/>
        <w:textAlignment w:val="auto"/>
        <w:rPr>
          <w:rFonts w:hint="eastAsia" w:ascii="仿宋" w:hAnsi="仿宋" w:eastAsia="仿宋" w:cs="仿宋"/>
          <w:strike/>
          <w:dstrike w:val="0"/>
          <w:color w:val="000000"/>
          <w:sz w:val="24"/>
          <w:szCs w:val="24"/>
          <w:lang w:val="en-US" w:eastAsia="zh-CN" w:bidi="ar-SA"/>
        </w:rPr>
      </w:pPr>
      <w:r>
        <w:rPr>
          <w:rFonts w:hint="eastAsia" w:ascii="仿宋" w:hAnsi="仿宋" w:eastAsia="仿宋" w:cs="仿宋"/>
          <w:strike w:val="0"/>
          <w:dstrike w:val="0"/>
          <w:color w:val="000000"/>
          <w:sz w:val="24"/>
          <w:szCs w:val="24"/>
          <w:lang w:val="en-US" w:eastAsia="zh-CN" w:bidi="ar-SA"/>
        </w:rPr>
        <w:t>（一）</w:t>
      </w:r>
      <w:r>
        <w:rPr>
          <w:rFonts w:hint="eastAsia" w:ascii="仿宋" w:hAnsi="仿宋" w:eastAsia="仿宋" w:cs="仿宋"/>
          <w:b/>
          <w:bCs/>
          <w:sz w:val="24"/>
          <w:szCs w:val="24"/>
          <w:highlight w:val="none"/>
        </w:rPr>
        <w:t>按照江苏省</w:t>
      </w:r>
      <w:r>
        <w:rPr>
          <w:rFonts w:hint="eastAsia" w:ascii="仿宋" w:hAnsi="仿宋" w:eastAsia="仿宋" w:cs="仿宋"/>
          <w:b w:val="0"/>
          <w:bCs w:val="0"/>
          <w:sz w:val="24"/>
          <w:szCs w:val="24"/>
          <w:lang w:eastAsia="zh-CN"/>
        </w:rPr>
        <w:t>国网代理购电价</w:t>
      </w:r>
      <w:r>
        <w:rPr>
          <w:rFonts w:hint="eastAsia" w:ascii="仿宋" w:hAnsi="仿宋" w:eastAsia="仿宋" w:cs="仿宋"/>
          <w:b/>
          <w:bCs/>
          <w:sz w:val="24"/>
          <w:szCs w:val="24"/>
          <w:highlight w:val="none"/>
        </w:rPr>
        <w:t>基础上让利金额高者中标，</w:t>
      </w:r>
      <w:r>
        <w:rPr>
          <w:rFonts w:hint="eastAsia" w:ascii="仿宋" w:hAnsi="仿宋" w:eastAsia="仿宋" w:cs="仿宋"/>
          <w:b/>
          <w:bCs/>
          <w:sz w:val="24"/>
          <w:szCs w:val="24"/>
          <w:highlight w:val="none"/>
          <w:lang w:val="en-US" w:eastAsia="zh-CN"/>
        </w:rPr>
        <w:t>最低</w:t>
      </w:r>
      <w:r>
        <w:rPr>
          <w:rFonts w:hint="eastAsia" w:ascii="仿宋" w:hAnsi="仿宋" w:eastAsia="仿宋" w:cs="仿宋"/>
          <w:b/>
          <w:bCs/>
          <w:sz w:val="24"/>
          <w:szCs w:val="24"/>
          <w:highlight w:val="none"/>
        </w:rPr>
        <w:t>让利</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shd w:val="clear" w:color="auto" w:fill="auto"/>
          <w:lang w:val="en-US" w:eastAsia="zh-CN"/>
        </w:rPr>
        <w:t>分</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千瓦时</w:t>
      </w:r>
      <w:r>
        <w:rPr>
          <w:rFonts w:hint="eastAsia" w:ascii="仿宋" w:hAnsi="仿宋" w:eastAsia="仿宋" w:cs="仿宋"/>
          <w:b/>
          <w:bCs/>
          <w:sz w:val="24"/>
          <w:szCs w:val="24"/>
          <w:highlight w:val="none"/>
        </w:rPr>
        <w:t>，最终报价低于最低优惠力度的视为无效响应文件。</w:t>
      </w:r>
    </w:p>
    <w:p w14:paraId="03D25CB2">
      <w:pPr>
        <w:keepNext w:val="0"/>
        <w:keepLines w:val="0"/>
        <w:pageBreakBefore w:val="0"/>
        <w:widowControl/>
        <w:suppressLineNumbers w:val="0"/>
        <w:kinsoku/>
        <w:wordWrap/>
        <w:overflowPunct/>
        <w:topLinePunct w:val="0"/>
        <w:autoSpaceDE/>
        <w:autoSpaceDN/>
        <w:bidi w:val="0"/>
        <w:adjustRightInd/>
        <w:snapToGrid/>
        <w:spacing w:line="400" w:lineRule="exact"/>
        <w:ind w:firstLine="562"/>
        <w:jc w:val="left"/>
        <w:textAlignment w:val="auto"/>
        <w:rPr>
          <w:rFonts w:hint="eastAsia" w:ascii="仿宋" w:hAnsi="仿宋" w:eastAsia="仿宋" w:cs="仿宋"/>
          <w:b/>
          <w:bCs/>
          <w:strike/>
          <w:dstrike w:val="0"/>
          <w:sz w:val="24"/>
          <w:szCs w:val="24"/>
          <w:highlight w:val="none"/>
        </w:rPr>
      </w:pPr>
    </w:p>
    <w:p w14:paraId="4833BBBE">
      <w:pPr>
        <w:rPr>
          <w:rFonts w:hint="eastAsia" w:ascii="仿宋" w:hAnsi="仿宋" w:eastAsia="仿宋" w:cs="仿宋"/>
          <w:sz w:val="28"/>
          <w:szCs w:val="28"/>
          <w:lang w:eastAsia="zh-CN"/>
        </w:rPr>
      </w:pPr>
    </w:p>
    <w:p w14:paraId="6A2E27FB">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449D6"/>
    <w:rsid w:val="24C41BBB"/>
    <w:rsid w:val="2AC64FFE"/>
    <w:rsid w:val="2FDE423A"/>
    <w:rsid w:val="30EE1852"/>
    <w:rsid w:val="42F35244"/>
    <w:rsid w:val="4AA4516A"/>
    <w:rsid w:val="506C277D"/>
    <w:rsid w:val="5713011D"/>
    <w:rsid w:val="59115CFD"/>
    <w:rsid w:val="653D1756"/>
    <w:rsid w:val="71A4377A"/>
    <w:rsid w:val="720F7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line="400" w:lineRule="exact"/>
    </w:pPr>
    <w:rPr>
      <w:rFonts w:ascii="楷体_GB2312" w:eastAsia="宋体"/>
      <w:sz w:val="28"/>
    </w:rPr>
  </w:style>
  <w:style w:type="paragraph" w:styleId="5">
    <w:name w:val="Plain Text"/>
    <w:basedOn w:val="1"/>
    <w:qFormat/>
    <w:uiPriority w:val="99"/>
    <w:pPr>
      <w:widowControl/>
      <w:spacing w:after="200" w:line="252" w:lineRule="auto"/>
      <w:jc w:val="left"/>
    </w:pPr>
    <w:rPr>
      <w:rFonts w:ascii="宋体" w:hAnsi="Courier New"/>
      <w:szCs w:val="20"/>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1950</Words>
  <Characters>1999</Characters>
  <Lines>0</Lines>
  <Paragraphs>0</Paragraphs>
  <TotalTime>10</TotalTime>
  <ScaleCrop>false</ScaleCrop>
  <LinksUpToDate>false</LinksUpToDate>
  <CharactersWithSpaces>2079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2020-12-21T00:52:00Z</dcterms:created>
  <dc:creator>User</dc:creator>
  <cp:lastModifiedBy>Administrator</cp:lastModifiedBy>
  <dcterms:modified xsi:type="dcterms:W3CDTF">2025-11-21T01:43:54Z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eyJoZGlkIjoiNmI2Njc0ZmUxNDMwMjMzYjAwYmY3NDliMDdmZmViODkifQ==</vt:lpwstr>
  </property>
  <property fmtid="{D5CDD505-2E9C-101B-9397-08002B2CF9AE}" pid="4" name="ICV">
    <vt:lpwstr>AAD7E962F56A49B5A14A38F3E7D31504_13</vt:lpwstr>
  </property>
</Properties>
</file>