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2885">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关于采购数字震动感觉阈值检测仪和周围神经检测工具箱的采购公告</w:t>
      </w:r>
    </w:p>
    <w:p w14:paraId="76BD6797">
      <w:pPr>
        <w:widowControl/>
        <w:spacing w:line="432" w:lineRule="atLeast"/>
        <w:ind w:firstLine="210" w:firstLineChars="100"/>
        <w:jc w:val="both"/>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我院近期拟采购</w:t>
      </w:r>
      <w:r>
        <w:rPr>
          <w:rFonts w:hint="eastAsia" w:ascii="宋体" w:hAnsi="宋体" w:eastAsia="宋体" w:cs="宋体"/>
          <w:i w:val="0"/>
          <w:iCs w:val="0"/>
          <w:color w:val="auto"/>
          <w:kern w:val="0"/>
          <w:sz w:val="21"/>
          <w:szCs w:val="21"/>
          <w:u w:val="none"/>
          <w:lang w:val="en-US" w:eastAsia="zh-CN" w:bidi="ar"/>
        </w:rPr>
        <w:t>数字震动感觉阈值检测仪和周围神经检测工具箱</w:t>
      </w:r>
      <w:r>
        <w:rPr>
          <w:rFonts w:hint="eastAsia" w:ascii="宋体" w:hAnsi="宋体" w:eastAsia="宋体" w:cs="Times New Roman"/>
          <w:szCs w:val="21"/>
          <w:lang w:val="en-US" w:eastAsia="zh-CN"/>
        </w:rPr>
        <w:t>，</w:t>
      </w:r>
      <w:bookmarkStart w:id="0" w:name="_GoBack"/>
      <w:bookmarkEnd w:id="0"/>
      <w:r>
        <w:rPr>
          <w:rFonts w:hint="eastAsia" w:ascii="宋体" w:hAnsi="宋体" w:eastAsia="宋体" w:cs="Times New Roman"/>
          <w:szCs w:val="21"/>
          <w:lang w:val="en-US" w:eastAsia="zh-CN"/>
        </w:rPr>
        <w:t>现对该项目进行招标公示，欢迎符合相关条件的单位参加。</w:t>
      </w:r>
    </w:p>
    <w:p w14:paraId="62C4202C">
      <w:pPr>
        <w:widowControl/>
        <w:spacing w:line="432" w:lineRule="atLeast"/>
        <w:ind w:firstLine="210" w:firstLineChars="100"/>
        <w:jc w:val="both"/>
        <w:rPr>
          <w:szCs w:val="21"/>
        </w:rPr>
      </w:pPr>
      <w:r>
        <w:rPr>
          <w:rFonts w:hint="eastAsia" w:ascii="宋体" w:hAnsi="宋体" w:eastAsia="宋体" w:cs="Times New Roman"/>
          <w:szCs w:val="21"/>
          <w:lang w:val="en-US" w:eastAsia="zh-CN"/>
        </w:rPr>
        <w:t>一、项目名称、数量及简要说明</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2425"/>
        <w:gridCol w:w="968"/>
        <w:gridCol w:w="1091"/>
        <w:gridCol w:w="3565"/>
      </w:tblGrid>
      <w:tr w14:paraId="3C2A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dxa"/>
          </w:tcPr>
          <w:p w14:paraId="42032186">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425" w:type="dxa"/>
          </w:tcPr>
          <w:p w14:paraId="31A3026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名称</w:t>
            </w:r>
          </w:p>
        </w:tc>
        <w:tc>
          <w:tcPr>
            <w:tcW w:w="968" w:type="dxa"/>
          </w:tcPr>
          <w:p w14:paraId="7B96D53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数量</w:t>
            </w:r>
          </w:p>
        </w:tc>
        <w:tc>
          <w:tcPr>
            <w:tcW w:w="1091" w:type="dxa"/>
          </w:tcPr>
          <w:p w14:paraId="47619C7E">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预算</w:t>
            </w:r>
          </w:p>
          <w:p w14:paraId="36B32959">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（万元）</w:t>
            </w:r>
          </w:p>
        </w:tc>
        <w:tc>
          <w:tcPr>
            <w:tcW w:w="3565" w:type="dxa"/>
          </w:tcPr>
          <w:p w14:paraId="71EC4D14">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需求参数</w:t>
            </w:r>
          </w:p>
        </w:tc>
      </w:tr>
      <w:tr w14:paraId="0372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76" w:type="dxa"/>
          </w:tcPr>
          <w:p w14:paraId="2D21298A">
            <w:pPr>
              <w:widowControl/>
              <w:spacing w:line="72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425" w:type="dxa"/>
            <w:vAlign w:val="center"/>
          </w:tcPr>
          <w:p w14:paraId="381E72B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数字震动感觉阈值检测仪</w:t>
            </w:r>
          </w:p>
        </w:tc>
        <w:tc>
          <w:tcPr>
            <w:tcW w:w="968" w:type="dxa"/>
            <w:vAlign w:val="center"/>
          </w:tcPr>
          <w:p w14:paraId="1137407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1091" w:type="dxa"/>
            <w:shd w:val="clear" w:color="auto" w:fill="auto"/>
            <w:vAlign w:val="center"/>
          </w:tcPr>
          <w:p w14:paraId="618E20CF">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3565" w:type="dxa"/>
            <w:shd w:val="clear" w:color="auto" w:fill="auto"/>
            <w:vAlign w:val="center"/>
          </w:tcPr>
          <w:p w14:paraId="39437C36">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default" w:ascii="宋体" w:hAnsi="宋体" w:eastAsia="宋体" w:cs="宋体"/>
                <w:i w:val="0"/>
                <w:iCs w:val="0"/>
                <w:color w:val="000000"/>
                <w:kern w:val="2"/>
                <w:sz w:val="22"/>
                <w:szCs w:val="22"/>
                <w:u w:val="none"/>
                <w:lang w:val="en-US" w:eastAsia="zh-CN" w:bidi="ar-SA"/>
              </w:rPr>
              <w:t>适用于糖尿病患者神经病变筛查。软件可根据检测数据自动生成报告摘要。支持病例存储、查询，完整的报告打印功能，可生成导出患者历史数据对比报告。支持与医院HIS系统对接的通讯协议。带工作站、彩色打印机、移动台车</w:t>
            </w:r>
            <w:r>
              <w:rPr>
                <w:rFonts w:hint="eastAsia" w:ascii="宋体" w:hAnsi="宋体" w:eastAsia="宋体" w:cs="宋体"/>
                <w:i w:val="0"/>
                <w:iCs w:val="0"/>
                <w:color w:val="000000"/>
                <w:kern w:val="2"/>
                <w:sz w:val="22"/>
                <w:szCs w:val="22"/>
                <w:u w:val="none"/>
                <w:lang w:val="en-US" w:eastAsia="zh-CN" w:bidi="ar-SA"/>
              </w:rPr>
              <w:t>;</w:t>
            </w:r>
          </w:p>
        </w:tc>
      </w:tr>
      <w:tr w14:paraId="1FC5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76" w:type="dxa"/>
          </w:tcPr>
          <w:p w14:paraId="7D9BD89B">
            <w:pPr>
              <w:widowControl/>
              <w:spacing w:line="72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2</w:t>
            </w:r>
          </w:p>
        </w:tc>
        <w:tc>
          <w:tcPr>
            <w:tcW w:w="2425" w:type="dxa"/>
            <w:vAlign w:val="center"/>
          </w:tcPr>
          <w:p w14:paraId="1BBE0144">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周围神经检测工具箱</w:t>
            </w:r>
          </w:p>
        </w:tc>
        <w:tc>
          <w:tcPr>
            <w:tcW w:w="968" w:type="dxa"/>
            <w:vAlign w:val="center"/>
          </w:tcPr>
          <w:p w14:paraId="1BE1852D">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1091" w:type="dxa"/>
            <w:shd w:val="clear" w:color="auto" w:fill="auto"/>
            <w:vAlign w:val="center"/>
          </w:tcPr>
          <w:p w14:paraId="4C907093">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0.05</w:t>
            </w:r>
          </w:p>
        </w:tc>
        <w:tc>
          <w:tcPr>
            <w:tcW w:w="3565" w:type="dxa"/>
            <w:shd w:val="clear" w:color="auto" w:fill="auto"/>
            <w:vAlign w:val="center"/>
          </w:tcPr>
          <w:p w14:paraId="17A9CC17">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p>
        </w:tc>
      </w:tr>
    </w:tbl>
    <w:p w14:paraId="7A41A431">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20665ACC">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r>
        <w:rPr>
          <w:rFonts w:hint="eastAsia" w:ascii="Verdana" w:hAnsi="Verdana" w:eastAsia="宋体" w:cs="宋体"/>
          <w:kern w:val="0"/>
          <w:szCs w:val="21"/>
          <w:lang w:eastAsia="zh-CN"/>
        </w:rPr>
        <w:t>；</w:t>
      </w:r>
    </w:p>
    <w:p w14:paraId="1F798A0D">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6.具有医疗器械生产或经营许可资格；</w:t>
      </w:r>
    </w:p>
    <w:p w14:paraId="1D74BE0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7.非生产厂家投标的，须具有产品的合法代理商资格证明。</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8   </w:t>
      </w:r>
      <w:r>
        <w:rPr>
          <w:rFonts w:hint="eastAsia" w:ascii="Verdana" w:hAnsi="Verdana" w:cs="宋体"/>
          <w:kern w:val="0"/>
          <w:szCs w:val="21"/>
        </w:rPr>
        <w:t>月</w:t>
      </w:r>
      <w:r>
        <w:rPr>
          <w:rFonts w:hint="eastAsia" w:ascii="Verdana" w:hAnsi="Verdana" w:cs="宋体"/>
          <w:kern w:val="0"/>
          <w:szCs w:val="21"/>
          <w:u w:val="single"/>
          <w:lang w:val="en-US" w:eastAsia="zh-CN"/>
        </w:rPr>
        <w:t xml:space="preserve">   11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8  </w:t>
      </w:r>
      <w:r>
        <w:rPr>
          <w:rFonts w:hint="eastAsia" w:ascii="Verdana" w:hAnsi="Verdana" w:cs="宋体"/>
          <w:kern w:val="0"/>
          <w:szCs w:val="21"/>
        </w:rPr>
        <w:t>月</w:t>
      </w:r>
      <w:r>
        <w:rPr>
          <w:rFonts w:hint="eastAsia" w:ascii="Verdana" w:hAnsi="Verdana" w:cs="宋体"/>
          <w:kern w:val="0"/>
          <w:szCs w:val="21"/>
          <w:u w:val="single"/>
          <w:lang w:val="en-US" w:eastAsia="zh-CN"/>
        </w:rPr>
        <w:t xml:space="preserve">   15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30279D04">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报名格式：项目名称+公司名称+联系人+联系电话，公司资质以附件形式发送。</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5DA8F9EB">
      <w:pPr>
        <w:widowControl/>
        <w:spacing w:line="432" w:lineRule="atLeast"/>
        <w:jc w:val="left"/>
        <w:rPr>
          <w:rFonts w:hint="eastAsia"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single"/>
          <w:lang w:val="en-US" w:eastAsia="zh-CN"/>
        </w:rPr>
        <w:t>2025年8月18日下午2：00，住院部12楼西会议室5</w:t>
      </w:r>
      <w:r>
        <w:rPr>
          <w:rFonts w:hint="eastAsia" w:ascii="Verdana" w:hAnsi="Verdana" w:eastAsia="宋体" w:cs="宋体"/>
          <w:b/>
          <w:bCs w:val="0"/>
          <w:kern w:val="0"/>
          <w:szCs w:val="21"/>
          <w:lang w:val="en-US" w:eastAsia="zh-CN"/>
        </w:rPr>
        <w:t>。</w:t>
      </w:r>
    </w:p>
    <w:p w14:paraId="26B03C25">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53E290D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9AF36D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1E3F9D2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2984AA0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74CD278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82355F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1DE4206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54AC682E">
      <w:pPr>
        <w:widowControl/>
        <w:spacing w:line="432" w:lineRule="atLeast"/>
        <w:jc w:val="left"/>
        <w:rPr>
          <w:rFonts w:hint="eastAsia" w:ascii="Verdana" w:hAnsi="Verdana" w:eastAsia="宋体" w:cs="宋体"/>
          <w:b/>
          <w:bCs/>
          <w:kern w:val="0"/>
          <w:sz w:val="21"/>
          <w:szCs w:val="21"/>
          <w:u w:val="single"/>
          <w:lang w:val="en-US" w:eastAsia="zh-CN"/>
        </w:rPr>
      </w:pPr>
      <w:r>
        <w:rPr>
          <w:rFonts w:hint="eastAsia" w:ascii="Verdana" w:hAnsi="Verdana" w:eastAsia="宋体" w:cs="宋体"/>
          <w:b/>
          <w:bCs/>
          <w:kern w:val="0"/>
          <w:sz w:val="21"/>
          <w:szCs w:val="21"/>
          <w:u w:val="single"/>
        </w:rPr>
        <w:t>8. 该产品市场占有率（在江苏省范围内）列出购买贵公司该产品的主要用户</w:t>
      </w:r>
      <w:r>
        <w:rPr>
          <w:rFonts w:hint="eastAsia" w:ascii="Verdana" w:hAnsi="Verdana" w:eastAsia="宋体" w:cs="宋体"/>
          <w:b/>
          <w:bCs/>
          <w:kern w:val="0"/>
          <w:sz w:val="21"/>
          <w:szCs w:val="21"/>
          <w:u w:val="single"/>
          <w:lang w:eastAsia="zh-CN"/>
        </w:rPr>
        <w:t>。</w:t>
      </w:r>
    </w:p>
    <w:p w14:paraId="39543183">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56751732">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eastAsia="zh-CN"/>
        </w:rPr>
        <w:t>三</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5</w:t>
      </w:r>
      <w:r>
        <w:rPr>
          <w:rFonts w:hint="eastAsia" w:ascii="Verdana" w:hAnsi="Verdana" w:eastAsia="宋体" w:cs="宋体"/>
          <w:kern w:val="0"/>
          <w:szCs w:val="21"/>
        </w:rPr>
        <w:t>年</w:t>
      </w:r>
      <w:r>
        <w:rPr>
          <w:rFonts w:hint="eastAsia" w:ascii="Verdana" w:hAnsi="Verdana" w:eastAsia="宋体" w:cs="宋体"/>
          <w:kern w:val="0"/>
          <w:szCs w:val="21"/>
          <w:lang w:val="en-US" w:eastAsia="zh-CN"/>
        </w:rPr>
        <w:t>8</w:t>
      </w:r>
      <w:r>
        <w:rPr>
          <w:rFonts w:hint="eastAsia" w:ascii="Verdana" w:hAnsi="Verdana" w:eastAsia="宋体" w:cs="宋体"/>
          <w:kern w:val="0"/>
          <w:szCs w:val="21"/>
        </w:rPr>
        <w:t>月</w:t>
      </w:r>
      <w:r>
        <w:rPr>
          <w:rFonts w:hint="eastAsia" w:ascii="Verdana" w:hAnsi="Verdana" w:eastAsia="宋体" w:cs="宋体"/>
          <w:kern w:val="0"/>
          <w:szCs w:val="21"/>
          <w:lang w:val="en-US" w:eastAsia="zh-CN"/>
        </w:rPr>
        <w:t>11</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6764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5E5EED9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62D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08553E2">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723B48B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390A4F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30F136F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652AACA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149B610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69B3683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1DF14153">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79E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58180E7F">
            <w:pPr>
              <w:widowControl/>
              <w:spacing w:line="432" w:lineRule="atLeast"/>
              <w:jc w:val="right"/>
              <w:rPr>
                <w:rFonts w:hint="eastAsia" w:ascii="Verdana" w:hAnsi="Verdana" w:eastAsia="宋体" w:cs="宋体"/>
                <w:kern w:val="0"/>
                <w:szCs w:val="21"/>
                <w:vertAlign w:val="baseline"/>
              </w:rPr>
            </w:pPr>
          </w:p>
        </w:tc>
        <w:tc>
          <w:tcPr>
            <w:tcW w:w="1658" w:type="dxa"/>
          </w:tcPr>
          <w:p w14:paraId="54B81C71">
            <w:pPr>
              <w:widowControl/>
              <w:spacing w:line="432" w:lineRule="atLeast"/>
              <w:jc w:val="right"/>
              <w:rPr>
                <w:rFonts w:hint="eastAsia" w:ascii="Verdana" w:hAnsi="Verdana" w:eastAsia="宋体" w:cs="宋体"/>
                <w:kern w:val="0"/>
                <w:szCs w:val="21"/>
                <w:vertAlign w:val="baseline"/>
              </w:rPr>
            </w:pPr>
          </w:p>
        </w:tc>
        <w:tc>
          <w:tcPr>
            <w:tcW w:w="1066" w:type="dxa"/>
          </w:tcPr>
          <w:p w14:paraId="0DE096F0">
            <w:pPr>
              <w:widowControl/>
              <w:spacing w:line="432" w:lineRule="atLeast"/>
              <w:jc w:val="right"/>
              <w:rPr>
                <w:rFonts w:hint="eastAsia" w:ascii="Verdana" w:hAnsi="Verdana" w:eastAsia="宋体" w:cs="宋体"/>
                <w:kern w:val="0"/>
                <w:szCs w:val="21"/>
                <w:vertAlign w:val="baseline"/>
              </w:rPr>
            </w:pPr>
          </w:p>
        </w:tc>
        <w:tc>
          <w:tcPr>
            <w:tcW w:w="1066" w:type="dxa"/>
          </w:tcPr>
          <w:p w14:paraId="08DF5ED5">
            <w:pPr>
              <w:widowControl/>
              <w:spacing w:line="432" w:lineRule="atLeast"/>
              <w:jc w:val="right"/>
              <w:rPr>
                <w:rFonts w:hint="eastAsia" w:ascii="Verdana" w:hAnsi="Verdana" w:eastAsia="宋体" w:cs="宋体"/>
                <w:kern w:val="0"/>
                <w:szCs w:val="21"/>
                <w:vertAlign w:val="baseline"/>
              </w:rPr>
            </w:pPr>
          </w:p>
        </w:tc>
        <w:tc>
          <w:tcPr>
            <w:tcW w:w="1310" w:type="dxa"/>
          </w:tcPr>
          <w:p w14:paraId="2FAABDF9">
            <w:pPr>
              <w:widowControl/>
              <w:spacing w:line="432" w:lineRule="atLeast"/>
              <w:jc w:val="right"/>
              <w:rPr>
                <w:rFonts w:hint="eastAsia" w:ascii="Verdana" w:hAnsi="Verdana" w:eastAsia="宋体" w:cs="宋体"/>
                <w:kern w:val="0"/>
                <w:szCs w:val="21"/>
                <w:vertAlign w:val="baseline"/>
              </w:rPr>
            </w:pPr>
          </w:p>
        </w:tc>
        <w:tc>
          <w:tcPr>
            <w:tcW w:w="969" w:type="dxa"/>
          </w:tcPr>
          <w:p w14:paraId="65FA5451">
            <w:pPr>
              <w:widowControl/>
              <w:spacing w:line="432" w:lineRule="atLeast"/>
              <w:jc w:val="right"/>
              <w:rPr>
                <w:rFonts w:hint="eastAsia" w:ascii="Verdana" w:hAnsi="Verdana" w:eastAsia="宋体" w:cs="宋体"/>
                <w:kern w:val="0"/>
                <w:szCs w:val="21"/>
                <w:vertAlign w:val="baseline"/>
              </w:rPr>
            </w:pPr>
          </w:p>
        </w:tc>
        <w:tc>
          <w:tcPr>
            <w:tcW w:w="1385" w:type="dxa"/>
          </w:tcPr>
          <w:p w14:paraId="5C104B5C">
            <w:pPr>
              <w:widowControl/>
              <w:spacing w:line="432" w:lineRule="atLeast"/>
              <w:jc w:val="right"/>
              <w:rPr>
                <w:rFonts w:hint="eastAsia" w:ascii="Verdana" w:hAnsi="Verdana" w:eastAsia="宋体" w:cs="宋体"/>
                <w:kern w:val="0"/>
                <w:szCs w:val="21"/>
                <w:vertAlign w:val="baseline"/>
              </w:rPr>
            </w:pPr>
          </w:p>
        </w:tc>
        <w:tc>
          <w:tcPr>
            <w:tcW w:w="796" w:type="dxa"/>
          </w:tcPr>
          <w:p w14:paraId="4C9B1766">
            <w:pPr>
              <w:widowControl/>
              <w:spacing w:line="432" w:lineRule="atLeast"/>
              <w:jc w:val="right"/>
              <w:rPr>
                <w:rFonts w:hint="eastAsia" w:ascii="Verdana" w:hAnsi="Verdana" w:eastAsia="宋体" w:cs="宋体"/>
                <w:kern w:val="0"/>
                <w:szCs w:val="21"/>
                <w:vertAlign w:val="baseline"/>
              </w:rPr>
            </w:pPr>
          </w:p>
        </w:tc>
      </w:tr>
      <w:tr w14:paraId="5704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3041A0A">
            <w:pPr>
              <w:widowControl/>
              <w:spacing w:line="432" w:lineRule="atLeast"/>
              <w:jc w:val="right"/>
              <w:rPr>
                <w:rFonts w:hint="eastAsia" w:ascii="Verdana" w:hAnsi="Verdana" w:eastAsia="宋体" w:cs="宋体"/>
                <w:kern w:val="0"/>
                <w:szCs w:val="21"/>
                <w:vertAlign w:val="baseline"/>
              </w:rPr>
            </w:pPr>
          </w:p>
        </w:tc>
        <w:tc>
          <w:tcPr>
            <w:tcW w:w="1658" w:type="dxa"/>
          </w:tcPr>
          <w:p w14:paraId="45FE63F6">
            <w:pPr>
              <w:widowControl/>
              <w:spacing w:line="432" w:lineRule="atLeast"/>
              <w:jc w:val="right"/>
              <w:rPr>
                <w:rFonts w:hint="eastAsia" w:ascii="Verdana" w:hAnsi="Verdana" w:eastAsia="宋体" w:cs="宋体"/>
                <w:kern w:val="0"/>
                <w:szCs w:val="21"/>
                <w:vertAlign w:val="baseline"/>
              </w:rPr>
            </w:pPr>
          </w:p>
        </w:tc>
        <w:tc>
          <w:tcPr>
            <w:tcW w:w="1066" w:type="dxa"/>
          </w:tcPr>
          <w:p w14:paraId="3C47AA79">
            <w:pPr>
              <w:widowControl/>
              <w:spacing w:line="432" w:lineRule="atLeast"/>
              <w:jc w:val="right"/>
              <w:rPr>
                <w:rFonts w:hint="eastAsia" w:ascii="Verdana" w:hAnsi="Verdana" w:eastAsia="宋体" w:cs="宋体"/>
                <w:kern w:val="0"/>
                <w:szCs w:val="21"/>
                <w:vertAlign w:val="baseline"/>
              </w:rPr>
            </w:pPr>
          </w:p>
        </w:tc>
        <w:tc>
          <w:tcPr>
            <w:tcW w:w="1066" w:type="dxa"/>
          </w:tcPr>
          <w:p w14:paraId="106396AD">
            <w:pPr>
              <w:widowControl/>
              <w:spacing w:line="432" w:lineRule="atLeast"/>
              <w:jc w:val="right"/>
              <w:rPr>
                <w:rFonts w:hint="eastAsia" w:ascii="Verdana" w:hAnsi="Verdana" w:eastAsia="宋体" w:cs="宋体"/>
                <w:kern w:val="0"/>
                <w:szCs w:val="21"/>
                <w:vertAlign w:val="baseline"/>
              </w:rPr>
            </w:pPr>
          </w:p>
        </w:tc>
        <w:tc>
          <w:tcPr>
            <w:tcW w:w="1310" w:type="dxa"/>
          </w:tcPr>
          <w:p w14:paraId="5625574A">
            <w:pPr>
              <w:widowControl/>
              <w:spacing w:line="432" w:lineRule="atLeast"/>
              <w:jc w:val="right"/>
              <w:rPr>
                <w:rFonts w:hint="eastAsia" w:ascii="Verdana" w:hAnsi="Verdana" w:eastAsia="宋体" w:cs="宋体"/>
                <w:kern w:val="0"/>
                <w:szCs w:val="21"/>
                <w:vertAlign w:val="baseline"/>
              </w:rPr>
            </w:pPr>
          </w:p>
        </w:tc>
        <w:tc>
          <w:tcPr>
            <w:tcW w:w="969" w:type="dxa"/>
          </w:tcPr>
          <w:p w14:paraId="3F5B6279">
            <w:pPr>
              <w:widowControl/>
              <w:spacing w:line="432" w:lineRule="atLeast"/>
              <w:jc w:val="right"/>
              <w:rPr>
                <w:rFonts w:hint="eastAsia" w:ascii="Verdana" w:hAnsi="Verdana" w:eastAsia="宋体" w:cs="宋体"/>
                <w:kern w:val="0"/>
                <w:szCs w:val="21"/>
                <w:vertAlign w:val="baseline"/>
              </w:rPr>
            </w:pPr>
          </w:p>
        </w:tc>
        <w:tc>
          <w:tcPr>
            <w:tcW w:w="1385" w:type="dxa"/>
          </w:tcPr>
          <w:p w14:paraId="62FD9140">
            <w:pPr>
              <w:widowControl/>
              <w:spacing w:line="432" w:lineRule="atLeast"/>
              <w:jc w:val="right"/>
              <w:rPr>
                <w:rFonts w:hint="eastAsia" w:ascii="Verdana" w:hAnsi="Verdana" w:eastAsia="宋体" w:cs="宋体"/>
                <w:kern w:val="0"/>
                <w:szCs w:val="21"/>
                <w:vertAlign w:val="baseline"/>
              </w:rPr>
            </w:pPr>
          </w:p>
        </w:tc>
        <w:tc>
          <w:tcPr>
            <w:tcW w:w="796" w:type="dxa"/>
          </w:tcPr>
          <w:p w14:paraId="59B39EDA">
            <w:pPr>
              <w:widowControl/>
              <w:spacing w:line="432" w:lineRule="atLeast"/>
              <w:jc w:val="right"/>
              <w:rPr>
                <w:rFonts w:hint="eastAsia" w:ascii="Verdana" w:hAnsi="Verdana" w:eastAsia="宋体" w:cs="宋体"/>
                <w:kern w:val="0"/>
                <w:szCs w:val="21"/>
                <w:vertAlign w:val="baseline"/>
              </w:rPr>
            </w:pPr>
          </w:p>
        </w:tc>
      </w:tr>
      <w:tr w14:paraId="5B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737A47D">
            <w:pPr>
              <w:widowControl/>
              <w:spacing w:line="432" w:lineRule="atLeast"/>
              <w:jc w:val="right"/>
              <w:rPr>
                <w:rFonts w:hint="eastAsia" w:ascii="Verdana" w:hAnsi="Verdana" w:eastAsia="宋体" w:cs="宋体"/>
                <w:kern w:val="0"/>
                <w:szCs w:val="21"/>
                <w:vertAlign w:val="baseline"/>
              </w:rPr>
            </w:pPr>
          </w:p>
        </w:tc>
        <w:tc>
          <w:tcPr>
            <w:tcW w:w="1658" w:type="dxa"/>
          </w:tcPr>
          <w:p w14:paraId="157163D5">
            <w:pPr>
              <w:widowControl/>
              <w:spacing w:line="432" w:lineRule="atLeast"/>
              <w:jc w:val="right"/>
              <w:rPr>
                <w:rFonts w:hint="eastAsia" w:ascii="Verdana" w:hAnsi="Verdana" w:eastAsia="宋体" w:cs="宋体"/>
                <w:kern w:val="0"/>
                <w:szCs w:val="21"/>
                <w:vertAlign w:val="baseline"/>
              </w:rPr>
            </w:pPr>
          </w:p>
        </w:tc>
        <w:tc>
          <w:tcPr>
            <w:tcW w:w="1066" w:type="dxa"/>
          </w:tcPr>
          <w:p w14:paraId="76A14728">
            <w:pPr>
              <w:widowControl/>
              <w:spacing w:line="432" w:lineRule="atLeast"/>
              <w:jc w:val="right"/>
              <w:rPr>
                <w:rFonts w:hint="eastAsia" w:ascii="Verdana" w:hAnsi="Verdana" w:eastAsia="宋体" w:cs="宋体"/>
                <w:kern w:val="0"/>
                <w:szCs w:val="21"/>
                <w:vertAlign w:val="baseline"/>
              </w:rPr>
            </w:pPr>
          </w:p>
        </w:tc>
        <w:tc>
          <w:tcPr>
            <w:tcW w:w="1066" w:type="dxa"/>
          </w:tcPr>
          <w:p w14:paraId="2B266341">
            <w:pPr>
              <w:widowControl/>
              <w:spacing w:line="432" w:lineRule="atLeast"/>
              <w:jc w:val="right"/>
              <w:rPr>
                <w:rFonts w:hint="eastAsia" w:ascii="Verdana" w:hAnsi="Verdana" w:eastAsia="宋体" w:cs="宋体"/>
                <w:kern w:val="0"/>
                <w:szCs w:val="21"/>
                <w:vertAlign w:val="baseline"/>
              </w:rPr>
            </w:pPr>
          </w:p>
        </w:tc>
        <w:tc>
          <w:tcPr>
            <w:tcW w:w="1310" w:type="dxa"/>
          </w:tcPr>
          <w:p w14:paraId="013B1190">
            <w:pPr>
              <w:widowControl/>
              <w:spacing w:line="432" w:lineRule="atLeast"/>
              <w:jc w:val="right"/>
              <w:rPr>
                <w:rFonts w:hint="eastAsia" w:ascii="Verdana" w:hAnsi="Verdana" w:eastAsia="宋体" w:cs="宋体"/>
                <w:kern w:val="0"/>
                <w:szCs w:val="21"/>
                <w:vertAlign w:val="baseline"/>
              </w:rPr>
            </w:pPr>
          </w:p>
        </w:tc>
        <w:tc>
          <w:tcPr>
            <w:tcW w:w="969" w:type="dxa"/>
          </w:tcPr>
          <w:p w14:paraId="6B5EBD04">
            <w:pPr>
              <w:widowControl/>
              <w:spacing w:line="432" w:lineRule="atLeast"/>
              <w:jc w:val="right"/>
              <w:rPr>
                <w:rFonts w:hint="eastAsia" w:ascii="Verdana" w:hAnsi="Verdana" w:eastAsia="宋体" w:cs="宋体"/>
                <w:kern w:val="0"/>
                <w:szCs w:val="21"/>
                <w:vertAlign w:val="baseline"/>
              </w:rPr>
            </w:pPr>
          </w:p>
        </w:tc>
        <w:tc>
          <w:tcPr>
            <w:tcW w:w="1385" w:type="dxa"/>
          </w:tcPr>
          <w:p w14:paraId="3B0308AE">
            <w:pPr>
              <w:widowControl/>
              <w:spacing w:line="432" w:lineRule="atLeast"/>
              <w:jc w:val="right"/>
              <w:rPr>
                <w:rFonts w:hint="eastAsia" w:ascii="Verdana" w:hAnsi="Verdana" w:eastAsia="宋体" w:cs="宋体"/>
                <w:kern w:val="0"/>
                <w:szCs w:val="21"/>
                <w:vertAlign w:val="baseline"/>
              </w:rPr>
            </w:pPr>
          </w:p>
        </w:tc>
        <w:tc>
          <w:tcPr>
            <w:tcW w:w="796" w:type="dxa"/>
          </w:tcPr>
          <w:p w14:paraId="0C97E505">
            <w:pPr>
              <w:widowControl/>
              <w:spacing w:line="432" w:lineRule="atLeast"/>
              <w:jc w:val="right"/>
              <w:rPr>
                <w:rFonts w:hint="eastAsia" w:ascii="Verdana" w:hAnsi="Verdana" w:eastAsia="宋体" w:cs="宋体"/>
                <w:kern w:val="0"/>
                <w:szCs w:val="21"/>
                <w:vertAlign w:val="baseline"/>
              </w:rPr>
            </w:pPr>
          </w:p>
        </w:tc>
      </w:tr>
    </w:tbl>
    <w:p w14:paraId="36783784">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6EF2E75"/>
    <w:rsid w:val="0C287AF8"/>
    <w:rsid w:val="0CE265BB"/>
    <w:rsid w:val="0D823B9C"/>
    <w:rsid w:val="1065694C"/>
    <w:rsid w:val="10ED3781"/>
    <w:rsid w:val="135E146D"/>
    <w:rsid w:val="13BC4DAC"/>
    <w:rsid w:val="13D90D86"/>
    <w:rsid w:val="164C547C"/>
    <w:rsid w:val="16C75DD3"/>
    <w:rsid w:val="17813363"/>
    <w:rsid w:val="17930207"/>
    <w:rsid w:val="183255CA"/>
    <w:rsid w:val="18AB3F2D"/>
    <w:rsid w:val="19483543"/>
    <w:rsid w:val="1A9E7FB2"/>
    <w:rsid w:val="1BEF59EB"/>
    <w:rsid w:val="1BF271A6"/>
    <w:rsid w:val="1CBA4E5F"/>
    <w:rsid w:val="1E3D747C"/>
    <w:rsid w:val="1F121D22"/>
    <w:rsid w:val="202F4689"/>
    <w:rsid w:val="21CC6B5B"/>
    <w:rsid w:val="221802A4"/>
    <w:rsid w:val="237A0EA4"/>
    <w:rsid w:val="24F94F2A"/>
    <w:rsid w:val="2646722D"/>
    <w:rsid w:val="29C24888"/>
    <w:rsid w:val="2B253EE5"/>
    <w:rsid w:val="2B7F207F"/>
    <w:rsid w:val="2C853166"/>
    <w:rsid w:val="2CBA0563"/>
    <w:rsid w:val="2CD22068"/>
    <w:rsid w:val="2DC20B28"/>
    <w:rsid w:val="2DC405E8"/>
    <w:rsid w:val="2DC57125"/>
    <w:rsid w:val="2EC028D2"/>
    <w:rsid w:val="302777C4"/>
    <w:rsid w:val="307A6987"/>
    <w:rsid w:val="30E22A3A"/>
    <w:rsid w:val="32B3194A"/>
    <w:rsid w:val="33AD100F"/>
    <w:rsid w:val="34CC177B"/>
    <w:rsid w:val="34DC0C61"/>
    <w:rsid w:val="3929570C"/>
    <w:rsid w:val="39D12D10"/>
    <w:rsid w:val="3A704383"/>
    <w:rsid w:val="3A855D38"/>
    <w:rsid w:val="3AC51059"/>
    <w:rsid w:val="3C537441"/>
    <w:rsid w:val="3EC040FF"/>
    <w:rsid w:val="3ED351C2"/>
    <w:rsid w:val="40EE58EA"/>
    <w:rsid w:val="416535D2"/>
    <w:rsid w:val="423F548D"/>
    <w:rsid w:val="42865B09"/>
    <w:rsid w:val="4453331F"/>
    <w:rsid w:val="44C739CD"/>
    <w:rsid w:val="4612063F"/>
    <w:rsid w:val="46AE0BBA"/>
    <w:rsid w:val="46CA32DF"/>
    <w:rsid w:val="493715C5"/>
    <w:rsid w:val="49BE4DB4"/>
    <w:rsid w:val="49E845B3"/>
    <w:rsid w:val="49EC6A1D"/>
    <w:rsid w:val="4D222F12"/>
    <w:rsid w:val="4E616680"/>
    <w:rsid w:val="4EE41539"/>
    <w:rsid w:val="4FDC44FB"/>
    <w:rsid w:val="51B419FB"/>
    <w:rsid w:val="51C70843"/>
    <w:rsid w:val="51F40D1B"/>
    <w:rsid w:val="529A4C31"/>
    <w:rsid w:val="53E13E73"/>
    <w:rsid w:val="55205EFD"/>
    <w:rsid w:val="577473DD"/>
    <w:rsid w:val="5BCE61CC"/>
    <w:rsid w:val="5D2F358E"/>
    <w:rsid w:val="5EE75C78"/>
    <w:rsid w:val="6045536F"/>
    <w:rsid w:val="607A1ED7"/>
    <w:rsid w:val="60C30EFE"/>
    <w:rsid w:val="617352E1"/>
    <w:rsid w:val="62103140"/>
    <w:rsid w:val="6230575B"/>
    <w:rsid w:val="626E41B2"/>
    <w:rsid w:val="62E31FFF"/>
    <w:rsid w:val="63281359"/>
    <w:rsid w:val="63F66FF2"/>
    <w:rsid w:val="64DD0D30"/>
    <w:rsid w:val="65365CFC"/>
    <w:rsid w:val="662C086C"/>
    <w:rsid w:val="66ED7983"/>
    <w:rsid w:val="676704D3"/>
    <w:rsid w:val="68012F0F"/>
    <w:rsid w:val="6BC25387"/>
    <w:rsid w:val="6F931A4C"/>
    <w:rsid w:val="6FF55828"/>
    <w:rsid w:val="708E31C7"/>
    <w:rsid w:val="71D561CB"/>
    <w:rsid w:val="74207B19"/>
    <w:rsid w:val="74994684"/>
    <w:rsid w:val="74AC7DA2"/>
    <w:rsid w:val="765F1EC8"/>
    <w:rsid w:val="79797D42"/>
    <w:rsid w:val="7B7E4ACA"/>
    <w:rsid w:val="7CA5194C"/>
    <w:rsid w:val="7D1C5826"/>
    <w:rsid w:val="7D6523B7"/>
    <w:rsid w:val="7DF75179"/>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3</Pages>
  <Words>1144</Words>
  <Characters>1254</Characters>
  <Lines>7</Lines>
  <Paragraphs>2</Paragraphs>
  <TotalTime>16</TotalTime>
  <ScaleCrop>false</ScaleCrop>
  <LinksUpToDate>false</LinksUpToDate>
  <CharactersWithSpaces>1314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2025-08-11T01:02:15Z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